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313D" w14:textId="27EE3458" w:rsidR="006E5D8F" w:rsidRPr="00E623C3" w:rsidRDefault="006E5D8F" w:rsidP="008305ED">
      <w:pPr>
        <w:spacing w:after="198" w:line="240" w:lineRule="auto"/>
        <w:ind w:left="0" w:right="15" w:firstLine="0"/>
        <w:jc w:val="center"/>
        <w:rPr>
          <w:sz w:val="56"/>
          <w:szCs w:val="56"/>
        </w:rPr>
      </w:pPr>
    </w:p>
    <w:p w14:paraId="2F446EBB" w14:textId="785AD920" w:rsidR="006E5D8F" w:rsidRPr="00E623C3" w:rsidRDefault="006E5D8F" w:rsidP="008305ED">
      <w:pPr>
        <w:spacing w:after="0" w:line="240" w:lineRule="auto"/>
        <w:ind w:left="0" w:right="15" w:firstLine="0"/>
        <w:jc w:val="center"/>
        <w:rPr>
          <w:sz w:val="56"/>
          <w:szCs w:val="56"/>
        </w:rPr>
      </w:pPr>
    </w:p>
    <w:p w14:paraId="45D4CE7A" w14:textId="37A4EAD5" w:rsidR="006E5D8F" w:rsidRPr="00E623C3" w:rsidRDefault="006E5D8F" w:rsidP="008305ED">
      <w:pPr>
        <w:spacing w:after="0" w:line="240" w:lineRule="auto"/>
        <w:ind w:left="0" w:right="15" w:firstLine="0"/>
        <w:jc w:val="center"/>
        <w:rPr>
          <w:sz w:val="56"/>
          <w:szCs w:val="56"/>
        </w:rPr>
      </w:pPr>
    </w:p>
    <w:p w14:paraId="19DCAFF7" w14:textId="3A389FDF" w:rsidR="006E5D8F" w:rsidRPr="00E623C3" w:rsidRDefault="006E5D8F" w:rsidP="008305ED">
      <w:pPr>
        <w:spacing w:after="0" w:line="240" w:lineRule="auto"/>
        <w:ind w:left="0" w:right="15" w:firstLine="0"/>
        <w:jc w:val="center"/>
        <w:rPr>
          <w:sz w:val="56"/>
          <w:szCs w:val="56"/>
        </w:rPr>
      </w:pPr>
    </w:p>
    <w:p w14:paraId="1B3EDFB8" w14:textId="57AFC8D7" w:rsidR="00AB6D63" w:rsidRPr="0030073D" w:rsidRDefault="00D30958" w:rsidP="008305ED">
      <w:pPr>
        <w:spacing w:after="0" w:line="240" w:lineRule="auto"/>
        <w:ind w:left="0" w:right="15" w:firstLine="0"/>
        <w:jc w:val="center"/>
        <w:rPr>
          <w:b/>
          <w:sz w:val="56"/>
        </w:rPr>
      </w:pPr>
      <w:r w:rsidRPr="0030073D">
        <w:rPr>
          <w:b/>
          <w:sz w:val="56"/>
        </w:rPr>
        <w:t>GRADUATE STUDIES</w:t>
      </w:r>
      <w:r w:rsidR="007E0994">
        <w:rPr>
          <w:b/>
          <w:sz w:val="56"/>
        </w:rPr>
        <w:t>:</w:t>
      </w:r>
    </w:p>
    <w:p w14:paraId="0B238FA5" w14:textId="2ACF1069" w:rsidR="00AB6D63" w:rsidRDefault="00D30958" w:rsidP="008305ED">
      <w:pPr>
        <w:spacing w:after="0" w:line="240" w:lineRule="auto"/>
        <w:ind w:left="0" w:right="15" w:firstLine="0"/>
        <w:jc w:val="center"/>
        <w:rPr>
          <w:b/>
          <w:sz w:val="56"/>
        </w:rPr>
      </w:pPr>
      <w:r>
        <w:rPr>
          <w:b/>
          <w:sz w:val="56"/>
        </w:rPr>
        <w:t>Information</w:t>
      </w:r>
      <w:r w:rsidR="00C40D5A">
        <w:rPr>
          <w:b/>
          <w:sz w:val="56"/>
        </w:rPr>
        <w:t xml:space="preserve">, </w:t>
      </w:r>
      <w:r>
        <w:rPr>
          <w:b/>
          <w:sz w:val="56"/>
        </w:rPr>
        <w:t>Policies</w:t>
      </w:r>
    </w:p>
    <w:p w14:paraId="75F1CE94" w14:textId="1D5B6EA1" w:rsidR="006E5D8F" w:rsidRDefault="007E0994" w:rsidP="008305ED">
      <w:pPr>
        <w:spacing w:after="0" w:line="240" w:lineRule="auto"/>
        <w:ind w:left="0" w:right="15" w:firstLine="0"/>
        <w:jc w:val="center"/>
      </w:pPr>
      <w:r>
        <w:rPr>
          <w:b/>
          <w:sz w:val="56"/>
        </w:rPr>
        <w:t>&amp;</w:t>
      </w:r>
      <w:r w:rsidR="00C40D5A">
        <w:rPr>
          <w:b/>
          <w:sz w:val="56"/>
        </w:rPr>
        <w:t xml:space="preserve"> </w:t>
      </w:r>
      <w:r w:rsidR="00D30958">
        <w:rPr>
          <w:b/>
          <w:sz w:val="56"/>
        </w:rPr>
        <w:t>Guidelines</w:t>
      </w:r>
    </w:p>
    <w:p w14:paraId="588EF49B" w14:textId="61F4FB0B" w:rsidR="006E5D8F" w:rsidRDefault="006E5D8F" w:rsidP="008305ED">
      <w:pPr>
        <w:spacing w:after="0" w:line="240" w:lineRule="auto"/>
        <w:ind w:left="139" w:right="15" w:firstLine="0"/>
        <w:jc w:val="center"/>
      </w:pPr>
    </w:p>
    <w:p w14:paraId="7F4ACD6C" w14:textId="0E4FC3D2" w:rsidR="006E5D8F" w:rsidRDefault="006E5D8F" w:rsidP="008305ED">
      <w:pPr>
        <w:spacing w:after="0" w:line="240" w:lineRule="auto"/>
        <w:ind w:left="139" w:right="15" w:firstLine="0"/>
        <w:jc w:val="center"/>
      </w:pPr>
    </w:p>
    <w:p w14:paraId="73B7B6BF" w14:textId="0DB8BC58" w:rsidR="006E5D8F" w:rsidRPr="007E0994" w:rsidRDefault="00D30958" w:rsidP="008305ED">
      <w:pPr>
        <w:spacing w:after="12" w:line="240" w:lineRule="auto"/>
        <w:ind w:left="0" w:right="15" w:firstLine="0"/>
        <w:jc w:val="center"/>
        <w:rPr>
          <w:bCs/>
        </w:rPr>
      </w:pPr>
      <w:r w:rsidRPr="007E0994">
        <w:rPr>
          <w:bCs/>
          <w:sz w:val="32"/>
        </w:rPr>
        <w:t>Implemented</w:t>
      </w:r>
      <w:r w:rsidR="007E0994">
        <w:rPr>
          <w:bCs/>
          <w:sz w:val="32"/>
        </w:rPr>
        <w:t>:</w:t>
      </w:r>
      <w:r w:rsidRPr="007E0994">
        <w:rPr>
          <w:bCs/>
          <w:sz w:val="32"/>
        </w:rPr>
        <w:t xml:space="preserve"> September 2008</w:t>
      </w:r>
    </w:p>
    <w:p w14:paraId="6A813DBE" w14:textId="72A59E10" w:rsidR="006E5D8F" w:rsidRPr="007E0994" w:rsidRDefault="00D30958" w:rsidP="008305ED">
      <w:pPr>
        <w:spacing w:after="12" w:line="240" w:lineRule="auto"/>
        <w:ind w:left="0" w:right="15" w:firstLine="0"/>
        <w:jc w:val="center"/>
        <w:rPr>
          <w:bCs/>
        </w:rPr>
      </w:pPr>
      <w:r w:rsidRPr="007E0994">
        <w:rPr>
          <w:bCs/>
          <w:sz w:val="32"/>
        </w:rPr>
        <w:t xml:space="preserve">Updated: </w:t>
      </w:r>
      <w:r w:rsidR="002B257C" w:rsidRPr="007E0994">
        <w:rPr>
          <w:bCs/>
          <w:sz w:val="32"/>
        </w:rPr>
        <w:t>September 2022</w:t>
      </w:r>
    </w:p>
    <w:p w14:paraId="7B2A902A" w14:textId="21BDA2CD" w:rsidR="006E5D8F" w:rsidRPr="007E0994" w:rsidRDefault="006E5D8F" w:rsidP="008305ED">
      <w:pPr>
        <w:spacing w:after="0" w:line="240" w:lineRule="auto"/>
        <w:ind w:left="0" w:right="15" w:firstLine="0"/>
        <w:jc w:val="center"/>
        <w:rPr>
          <w:bCs/>
        </w:rPr>
      </w:pPr>
    </w:p>
    <w:p w14:paraId="2AE99BE9" w14:textId="6CB18D82" w:rsidR="006E5D8F" w:rsidRDefault="006E5D8F" w:rsidP="008305ED">
      <w:pPr>
        <w:spacing w:after="0" w:line="240" w:lineRule="auto"/>
        <w:ind w:left="79" w:right="15" w:firstLine="0"/>
        <w:jc w:val="center"/>
        <w:rPr>
          <w:b/>
          <w:sz w:val="32"/>
        </w:rPr>
      </w:pPr>
    </w:p>
    <w:p w14:paraId="7E51AE39" w14:textId="30C661BE" w:rsidR="00E623C3" w:rsidRDefault="00E623C3" w:rsidP="008305ED">
      <w:pPr>
        <w:spacing w:after="0" w:line="240" w:lineRule="auto"/>
        <w:ind w:left="79" w:right="15" w:firstLine="0"/>
        <w:jc w:val="center"/>
        <w:rPr>
          <w:b/>
          <w:sz w:val="32"/>
        </w:rPr>
      </w:pPr>
    </w:p>
    <w:p w14:paraId="45A0928F" w14:textId="0896FA38" w:rsidR="00E623C3" w:rsidRDefault="00E623C3" w:rsidP="008305ED">
      <w:pPr>
        <w:spacing w:after="0" w:line="240" w:lineRule="auto"/>
        <w:ind w:left="79" w:right="15" w:firstLine="0"/>
        <w:jc w:val="center"/>
        <w:rPr>
          <w:b/>
          <w:sz w:val="32"/>
        </w:rPr>
      </w:pPr>
    </w:p>
    <w:p w14:paraId="2309F669" w14:textId="7E357EC3" w:rsidR="00E623C3" w:rsidRDefault="00E623C3" w:rsidP="008305ED">
      <w:pPr>
        <w:spacing w:after="0" w:line="240" w:lineRule="auto"/>
        <w:ind w:left="79" w:right="15" w:firstLine="0"/>
        <w:jc w:val="center"/>
        <w:rPr>
          <w:b/>
          <w:sz w:val="32"/>
        </w:rPr>
      </w:pPr>
    </w:p>
    <w:p w14:paraId="654D0722" w14:textId="04780E9C" w:rsidR="00E623C3" w:rsidRDefault="00E623C3" w:rsidP="008305ED">
      <w:pPr>
        <w:spacing w:after="0" w:line="240" w:lineRule="auto"/>
        <w:ind w:left="79" w:right="15" w:firstLine="0"/>
        <w:jc w:val="center"/>
        <w:rPr>
          <w:b/>
          <w:sz w:val="32"/>
        </w:rPr>
      </w:pPr>
    </w:p>
    <w:p w14:paraId="0CD51FBC" w14:textId="5A273228" w:rsidR="00E623C3" w:rsidRDefault="00E623C3" w:rsidP="008305ED">
      <w:pPr>
        <w:spacing w:after="0" w:line="240" w:lineRule="auto"/>
        <w:ind w:left="79" w:right="15" w:firstLine="0"/>
        <w:jc w:val="center"/>
        <w:rPr>
          <w:b/>
          <w:sz w:val="32"/>
        </w:rPr>
      </w:pPr>
    </w:p>
    <w:p w14:paraId="2CBC116F" w14:textId="16EB7837" w:rsidR="00E623C3" w:rsidRDefault="00E623C3" w:rsidP="008305ED">
      <w:pPr>
        <w:spacing w:after="0" w:line="240" w:lineRule="auto"/>
        <w:ind w:left="79" w:right="15" w:firstLine="0"/>
        <w:jc w:val="center"/>
        <w:rPr>
          <w:b/>
          <w:sz w:val="32"/>
        </w:rPr>
      </w:pPr>
    </w:p>
    <w:p w14:paraId="131EFC48" w14:textId="59DDCD19" w:rsidR="00E623C3" w:rsidRDefault="00E623C3" w:rsidP="008305ED">
      <w:pPr>
        <w:spacing w:after="0" w:line="240" w:lineRule="auto"/>
        <w:ind w:left="0" w:right="15" w:firstLine="0"/>
        <w:jc w:val="center"/>
        <w:rPr>
          <w:b/>
          <w:sz w:val="32"/>
        </w:rPr>
      </w:pPr>
    </w:p>
    <w:p w14:paraId="53E43165" w14:textId="03080131" w:rsidR="00E623C3" w:rsidRDefault="00E623C3" w:rsidP="008305ED">
      <w:pPr>
        <w:spacing w:after="0" w:line="240" w:lineRule="auto"/>
        <w:ind w:left="79" w:right="15" w:firstLine="0"/>
        <w:jc w:val="center"/>
        <w:rPr>
          <w:b/>
          <w:sz w:val="32"/>
        </w:rPr>
      </w:pPr>
      <w:r>
        <w:rPr>
          <w:b/>
          <w:noProof/>
          <w:sz w:val="32"/>
        </w:rPr>
        <w:drawing>
          <wp:inline distT="0" distB="0" distL="0" distR="0" wp14:anchorId="65226760" wp14:editId="0B7A44E4">
            <wp:extent cx="2057400" cy="13707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354" cy="1435380"/>
                    </a:xfrm>
                    <a:prstGeom prst="rect">
                      <a:avLst/>
                    </a:prstGeom>
                  </pic:spPr>
                </pic:pic>
              </a:graphicData>
            </a:graphic>
          </wp:inline>
        </w:drawing>
      </w:r>
    </w:p>
    <w:p w14:paraId="5BA63993" w14:textId="220E8F85" w:rsidR="00E623C3" w:rsidRDefault="00E623C3" w:rsidP="00A06887">
      <w:pPr>
        <w:spacing w:after="0" w:line="240" w:lineRule="auto"/>
        <w:ind w:right="15"/>
        <w:jc w:val="center"/>
      </w:pPr>
      <w:r>
        <w:rPr>
          <w:rFonts w:ascii="Arial" w:eastAsia="Arial" w:hAnsi="Arial" w:cs="Arial"/>
          <w:color w:val="666464"/>
          <w:sz w:val="15"/>
        </w:rPr>
        <w:t>300 Prince Philip Drive, Health Sciences Centre</w:t>
      </w:r>
      <w:r w:rsidR="00A06887">
        <w:rPr>
          <w:rFonts w:ascii="Arial" w:eastAsia="Arial" w:hAnsi="Arial" w:cs="Arial"/>
          <w:color w:val="666464"/>
          <w:sz w:val="15"/>
        </w:rPr>
        <w:t>,</w:t>
      </w:r>
      <w:r w:rsidR="00A06887">
        <w:rPr>
          <w:rFonts w:ascii="Arial" w:eastAsia="Arial" w:hAnsi="Arial" w:cs="Arial"/>
          <w:color w:val="666464"/>
          <w:sz w:val="15"/>
        </w:rPr>
        <w:t xml:space="preserve"> </w:t>
      </w:r>
      <w:r>
        <w:rPr>
          <w:rFonts w:ascii="Arial" w:eastAsia="Arial" w:hAnsi="Arial" w:cs="Arial"/>
          <w:color w:val="666464"/>
          <w:sz w:val="15"/>
        </w:rPr>
        <w:t>St. John’s, NL</w:t>
      </w:r>
      <w:r w:rsidR="00A06887">
        <w:rPr>
          <w:rFonts w:ascii="Arial" w:eastAsia="Arial" w:hAnsi="Arial" w:cs="Arial"/>
          <w:color w:val="666464"/>
          <w:sz w:val="15"/>
        </w:rPr>
        <w:t xml:space="preserve">, </w:t>
      </w:r>
      <w:r>
        <w:rPr>
          <w:rFonts w:ascii="Arial" w:eastAsia="Arial" w:hAnsi="Arial" w:cs="Arial"/>
          <w:color w:val="666464"/>
          <w:sz w:val="15"/>
        </w:rPr>
        <w:t>Canada</w:t>
      </w:r>
      <w:r w:rsidR="00A06887">
        <w:rPr>
          <w:rFonts w:ascii="Arial" w:eastAsia="Arial" w:hAnsi="Arial" w:cs="Arial"/>
          <w:color w:val="666464"/>
          <w:sz w:val="15"/>
        </w:rPr>
        <w:t>,</w:t>
      </w:r>
      <w:r>
        <w:rPr>
          <w:rFonts w:ascii="Arial" w:eastAsia="Arial" w:hAnsi="Arial" w:cs="Arial"/>
          <w:color w:val="666464"/>
          <w:sz w:val="15"/>
        </w:rPr>
        <w:t xml:space="preserve"> A1B 3V6</w:t>
      </w:r>
    </w:p>
    <w:p w14:paraId="12FBB2CB" w14:textId="59B12D8C" w:rsidR="00E623C3" w:rsidRPr="00A06887" w:rsidRDefault="00E623C3" w:rsidP="00A06887">
      <w:pPr>
        <w:tabs>
          <w:tab w:val="center" w:pos="4320"/>
        </w:tabs>
        <w:spacing w:after="79" w:line="240" w:lineRule="auto"/>
        <w:ind w:left="0" w:right="15" w:firstLine="0"/>
        <w:jc w:val="center"/>
        <w:rPr>
          <w:rFonts w:ascii="Arial" w:eastAsia="Arial" w:hAnsi="Arial" w:cs="Arial"/>
          <w:sz w:val="15"/>
        </w:rPr>
      </w:pPr>
      <w:r>
        <w:rPr>
          <w:rFonts w:ascii="Arial" w:eastAsia="Arial" w:hAnsi="Arial" w:cs="Arial"/>
          <w:color w:val="666464"/>
          <w:sz w:val="15"/>
        </w:rPr>
        <w:t xml:space="preserve">Tel: </w:t>
      </w:r>
      <w:r w:rsidR="00A06887">
        <w:rPr>
          <w:rFonts w:ascii="Arial" w:eastAsia="Arial" w:hAnsi="Arial" w:cs="Arial"/>
          <w:color w:val="666464"/>
          <w:sz w:val="15"/>
        </w:rPr>
        <w:t>(</w:t>
      </w:r>
      <w:r>
        <w:rPr>
          <w:rFonts w:ascii="Arial" w:eastAsia="Arial" w:hAnsi="Arial" w:cs="Arial"/>
          <w:color w:val="666464"/>
          <w:sz w:val="15"/>
        </w:rPr>
        <w:t>709</w:t>
      </w:r>
      <w:r w:rsidR="00A06887">
        <w:rPr>
          <w:rFonts w:ascii="Arial" w:eastAsia="Arial" w:hAnsi="Arial" w:cs="Arial"/>
          <w:color w:val="666464"/>
          <w:sz w:val="15"/>
        </w:rPr>
        <w:t xml:space="preserve">) </w:t>
      </w:r>
      <w:r>
        <w:rPr>
          <w:rFonts w:ascii="Arial" w:eastAsia="Arial" w:hAnsi="Arial" w:cs="Arial"/>
          <w:color w:val="666464"/>
          <w:sz w:val="15"/>
        </w:rPr>
        <w:t xml:space="preserve">864-2135 </w:t>
      </w:r>
      <w:r w:rsidR="00A06887">
        <w:rPr>
          <w:rFonts w:ascii="Arial" w:eastAsia="Arial" w:hAnsi="Arial" w:cs="Arial"/>
          <w:color w:val="666464"/>
          <w:sz w:val="15"/>
        </w:rPr>
        <w:t>•</w:t>
      </w:r>
      <w:r>
        <w:rPr>
          <w:rFonts w:ascii="Arial" w:eastAsia="Arial" w:hAnsi="Arial" w:cs="Arial"/>
          <w:color w:val="666464"/>
          <w:sz w:val="15"/>
        </w:rPr>
        <w:t xml:space="preserve"> Fax: </w:t>
      </w:r>
      <w:r w:rsidR="00A06887">
        <w:rPr>
          <w:rFonts w:ascii="Arial" w:eastAsia="Arial" w:hAnsi="Arial" w:cs="Arial"/>
          <w:color w:val="666464"/>
          <w:sz w:val="15"/>
        </w:rPr>
        <w:t>(</w:t>
      </w:r>
      <w:r>
        <w:rPr>
          <w:rFonts w:ascii="Arial" w:eastAsia="Arial" w:hAnsi="Arial" w:cs="Arial"/>
          <w:color w:val="666464"/>
          <w:sz w:val="15"/>
        </w:rPr>
        <w:t>709</w:t>
      </w:r>
      <w:r w:rsidR="00A06887">
        <w:rPr>
          <w:rFonts w:ascii="Arial" w:eastAsia="Arial" w:hAnsi="Arial" w:cs="Arial"/>
          <w:color w:val="666464"/>
          <w:sz w:val="15"/>
        </w:rPr>
        <w:t>)</w:t>
      </w:r>
      <w:r>
        <w:rPr>
          <w:rFonts w:ascii="Arial" w:eastAsia="Arial" w:hAnsi="Arial" w:cs="Arial"/>
          <w:color w:val="666464"/>
          <w:sz w:val="15"/>
        </w:rPr>
        <w:t xml:space="preserve"> 864-6941 </w:t>
      </w:r>
      <w:r>
        <w:rPr>
          <w:rFonts w:ascii="Arial" w:eastAsia="Arial" w:hAnsi="Arial" w:cs="Arial"/>
          <w:sz w:val="15"/>
        </w:rPr>
        <w:t xml:space="preserve"> </w:t>
      </w:r>
      <w:r w:rsidR="00A06887">
        <w:rPr>
          <w:rFonts w:ascii="Arial" w:eastAsia="Arial" w:hAnsi="Arial" w:cs="Arial"/>
          <w:sz w:val="15"/>
        </w:rPr>
        <w:br/>
      </w:r>
      <w:r>
        <w:rPr>
          <w:rFonts w:ascii="Arial" w:eastAsia="Arial" w:hAnsi="Arial" w:cs="Arial"/>
          <w:color w:val="0000FF"/>
          <w:sz w:val="15"/>
          <w:u w:val="single" w:color="0000FF"/>
        </w:rPr>
        <w:t>www.mun.ca/pharmacy</w:t>
      </w:r>
    </w:p>
    <w:p w14:paraId="7F05F20D" w14:textId="0CD9A8CD" w:rsidR="0030073D" w:rsidRPr="00AA5A22" w:rsidRDefault="00E623C3" w:rsidP="00A727BF">
      <w:pPr>
        <w:pStyle w:val="Heading1"/>
        <w:spacing w:line="240" w:lineRule="auto"/>
        <w:ind w:left="0" w:right="15"/>
        <w:rPr>
          <w:rFonts w:asciiTheme="minorHAnsi" w:hAnsiTheme="minorHAnsi" w:cstheme="minorHAnsi"/>
          <w:sz w:val="32"/>
          <w:szCs w:val="32"/>
        </w:rPr>
      </w:pPr>
      <w:r w:rsidRPr="00A727BF">
        <w:rPr>
          <w:rFonts w:asciiTheme="minorHAnsi" w:hAnsiTheme="minorHAnsi" w:cstheme="minorHAnsi"/>
          <w:sz w:val="28"/>
          <w:szCs w:val="28"/>
          <w:u w:color="000000"/>
        </w:rPr>
        <w:br w:type="column"/>
      </w:r>
      <w:bookmarkStart w:id="0" w:name="_Toc111554528"/>
      <w:r w:rsidR="00D30958" w:rsidRPr="00AA5A22">
        <w:rPr>
          <w:rFonts w:asciiTheme="minorHAnsi" w:hAnsiTheme="minorHAnsi" w:cstheme="minorHAnsi"/>
          <w:sz w:val="32"/>
          <w:szCs w:val="32"/>
          <w:u w:color="000000"/>
        </w:rPr>
        <w:lastRenderedPageBreak/>
        <w:t>Table of Contents</w:t>
      </w:r>
      <w:bookmarkEnd w:id="0"/>
    </w:p>
    <w:sdt>
      <w:sdtPr>
        <w:id w:val="-1131481015"/>
        <w:docPartObj>
          <w:docPartGallery w:val="Table of Contents"/>
          <w:docPartUnique/>
        </w:docPartObj>
      </w:sdtPr>
      <w:sdtEndPr>
        <w:rPr>
          <w:b/>
          <w:bCs/>
          <w:noProof/>
        </w:rPr>
      </w:sdtEndPr>
      <w:sdtContent>
        <w:p w14:paraId="2223DA9B" w14:textId="77777777" w:rsidR="001F0ED9" w:rsidRDefault="001F0ED9" w:rsidP="008305ED">
          <w:pPr>
            <w:spacing w:after="0" w:line="240" w:lineRule="auto"/>
            <w:ind w:left="0" w:right="15" w:firstLine="0"/>
            <w:jc w:val="left"/>
          </w:pPr>
        </w:p>
        <w:p w14:paraId="4B51F578" w14:textId="42355936" w:rsidR="004C7EAD" w:rsidRDefault="001F0ED9">
          <w:pPr>
            <w:pStyle w:val="TOC1"/>
            <w:tabs>
              <w:tab w:val="right" w:leader="dot" w:pos="10070"/>
            </w:tabs>
            <w:rPr>
              <w:rFonts w:asciiTheme="minorHAnsi" w:eastAsiaTheme="minorEastAsia" w:hAnsiTheme="minorHAnsi" w:cstheme="minorBidi"/>
              <w:noProof/>
              <w:color w:val="auto"/>
              <w:szCs w:val="24"/>
              <w:lang w:eastAsia="en-US"/>
            </w:rPr>
          </w:pPr>
          <w:r w:rsidRPr="00EA6A81">
            <w:rPr>
              <w:b/>
              <w:bCs/>
              <w:noProof/>
              <w:color w:val="000000" w:themeColor="text1"/>
            </w:rPr>
            <w:fldChar w:fldCharType="begin"/>
          </w:r>
          <w:r w:rsidRPr="00EA6A81">
            <w:rPr>
              <w:b/>
              <w:bCs/>
              <w:noProof/>
              <w:color w:val="000000" w:themeColor="text1"/>
            </w:rPr>
            <w:instrText xml:space="preserve"> TOC \o "1-3" \h \z \u </w:instrText>
          </w:r>
          <w:r w:rsidRPr="00EA6A81">
            <w:rPr>
              <w:b/>
              <w:bCs/>
              <w:noProof/>
              <w:color w:val="000000" w:themeColor="text1"/>
            </w:rPr>
            <w:fldChar w:fldCharType="separate"/>
          </w:r>
          <w:hyperlink w:anchor="_Toc111554528" w:history="1">
            <w:r w:rsidR="004C7EAD" w:rsidRPr="00D40519">
              <w:rPr>
                <w:rStyle w:val="Hyperlink"/>
                <w:noProof/>
              </w:rPr>
              <w:t>Table of Contents</w:t>
            </w:r>
            <w:r w:rsidR="004C7EAD">
              <w:rPr>
                <w:noProof/>
                <w:webHidden/>
              </w:rPr>
              <w:tab/>
            </w:r>
            <w:r w:rsidR="004C7EAD">
              <w:rPr>
                <w:noProof/>
                <w:webHidden/>
              </w:rPr>
              <w:fldChar w:fldCharType="begin"/>
            </w:r>
            <w:r w:rsidR="004C7EAD">
              <w:rPr>
                <w:noProof/>
                <w:webHidden/>
              </w:rPr>
              <w:instrText xml:space="preserve"> PAGEREF _Toc111554528 \h </w:instrText>
            </w:r>
            <w:r w:rsidR="004C7EAD">
              <w:rPr>
                <w:noProof/>
                <w:webHidden/>
              </w:rPr>
            </w:r>
            <w:r w:rsidR="004C7EAD">
              <w:rPr>
                <w:noProof/>
                <w:webHidden/>
              </w:rPr>
              <w:fldChar w:fldCharType="separate"/>
            </w:r>
            <w:r w:rsidR="004C7EAD">
              <w:rPr>
                <w:noProof/>
                <w:webHidden/>
              </w:rPr>
              <w:t>2</w:t>
            </w:r>
            <w:r w:rsidR="004C7EAD">
              <w:rPr>
                <w:noProof/>
                <w:webHidden/>
              </w:rPr>
              <w:fldChar w:fldCharType="end"/>
            </w:r>
          </w:hyperlink>
        </w:p>
        <w:p w14:paraId="2242E9B1" w14:textId="6130492D" w:rsidR="004C7EAD" w:rsidRDefault="004C7EAD">
          <w:pPr>
            <w:pStyle w:val="TOC3"/>
            <w:tabs>
              <w:tab w:val="right" w:leader="dot" w:pos="10070"/>
            </w:tabs>
            <w:rPr>
              <w:rFonts w:asciiTheme="minorHAnsi" w:eastAsiaTheme="minorEastAsia" w:hAnsiTheme="minorHAnsi" w:cstheme="minorBidi"/>
              <w:noProof/>
              <w:color w:val="auto"/>
              <w:szCs w:val="24"/>
              <w:lang w:eastAsia="en-US"/>
            </w:rPr>
          </w:pPr>
          <w:hyperlink w:anchor="_Toc111554529" w:history="1">
            <w:r w:rsidRPr="00D40519">
              <w:rPr>
                <w:rStyle w:val="Hyperlink"/>
                <w:rFonts w:cstheme="minorHAnsi"/>
                <w:noProof/>
              </w:rPr>
              <w:t>Introduction</w:t>
            </w:r>
            <w:r>
              <w:rPr>
                <w:noProof/>
                <w:webHidden/>
              </w:rPr>
              <w:tab/>
            </w:r>
            <w:r>
              <w:rPr>
                <w:noProof/>
                <w:webHidden/>
              </w:rPr>
              <w:fldChar w:fldCharType="begin"/>
            </w:r>
            <w:r>
              <w:rPr>
                <w:noProof/>
                <w:webHidden/>
              </w:rPr>
              <w:instrText xml:space="preserve"> PAGEREF _Toc111554529 \h </w:instrText>
            </w:r>
            <w:r>
              <w:rPr>
                <w:noProof/>
                <w:webHidden/>
              </w:rPr>
            </w:r>
            <w:r>
              <w:rPr>
                <w:noProof/>
                <w:webHidden/>
              </w:rPr>
              <w:fldChar w:fldCharType="separate"/>
            </w:r>
            <w:r>
              <w:rPr>
                <w:noProof/>
                <w:webHidden/>
              </w:rPr>
              <w:t>3</w:t>
            </w:r>
            <w:r>
              <w:rPr>
                <w:noProof/>
                <w:webHidden/>
              </w:rPr>
              <w:fldChar w:fldCharType="end"/>
            </w:r>
          </w:hyperlink>
        </w:p>
        <w:p w14:paraId="7C0BF0C2" w14:textId="0B26DC94" w:rsidR="004C7EAD" w:rsidRDefault="004C7EAD">
          <w:pPr>
            <w:pStyle w:val="TOC1"/>
            <w:tabs>
              <w:tab w:val="right" w:leader="dot" w:pos="10070"/>
            </w:tabs>
            <w:rPr>
              <w:rFonts w:asciiTheme="minorHAnsi" w:eastAsiaTheme="minorEastAsia" w:hAnsiTheme="minorHAnsi" w:cstheme="minorBidi"/>
              <w:noProof/>
              <w:color w:val="auto"/>
              <w:szCs w:val="24"/>
              <w:lang w:eastAsia="en-US"/>
            </w:rPr>
          </w:pPr>
          <w:hyperlink w:anchor="_Toc111554530" w:history="1">
            <w:r w:rsidRPr="00D40519">
              <w:rPr>
                <w:rStyle w:val="Hyperlink"/>
                <w:rFonts w:cstheme="minorHAnsi"/>
                <w:bCs/>
                <w:noProof/>
              </w:rPr>
              <w:t>Admission Requirements</w:t>
            </w:r>
            <w:r>
              <w:rPr>
                <w:noProof/>
                <w:webHidden/>
              </w:rPr>
              <w:tab/>
            </w:r>
            <w:r>
              <w:rPr>
                <w:noProof/>
                <w:webHidden/>
              </w:rPr>
              <w:fldChar w:fldCharType="begin"/>
            </w:r>
            <w:r>
              <w:rPr>
                <w:noProof/>
                <w:webHidden/>
              </w:rPr>
              <w:instrText xml:space="preserve"> PAGEREF _Toc111554530 \h </w:instrText>
            </w:r>
            <w:r>
              <w:rPr>
                <w:noProof/>
                <w:webHidden/>
              </w:rPr>
            </w:r>
            <w:r>
              <w:rPr>
                <w:noProof/>
                <w:webHidden/>
              </w:rPr>
              <w:fldChar w:fldCharType="separate"/>
            </w:r>
            <w:r>
              <w:rPr>
                <w:noProof/>
                <w:webHidden/>
              </w:rPr>
              <w:t>4</w:t>
            </w:r>
            <w:r>
              <w:rPr>
                <w:noProof/>
                <w:webHidden/>
              </w:rPr>
              <w:fldChar w:fldCharType="end"/>
            </w:r>
          </w:hyperlink>
        </w:p>
        <w:p w14:paraId="71202AED" w14:textId="46117BC2" w:rsidR="004C7EAD" w:rsidRDefault="004C7EAD">
          <w:pPr>
            <w:pStyle w:val="TOC1"/>
            <w:tabs>
              <w:tab w:val="right" w:leader="dot" w:pos="10070"/>
            </w:tabs>
            <w:rPr>
              <w:rFonts w:asciiTheme="minorHAnsi" w:eastAsiaTheme="minorEastAsia" w:hAnsiTheme="minorHAnsi" w:cstheme="minorBidi"/>
              <w:noProof/>
              <w:color w:val="auto"/>
              <w:szCs w:val="24"/>
              <w:lang w:eastAsia="en-US"/>
            </w:rPr>
          </w:pPr>
          <w:hyperlink w:anchor="_Toc111554531" w:history="1">
            <w:r w:rsidRPr="00D40519">
              <w:rPr>
                <w:rStyle w:val="Hyperlink"/>
                <w:rFonts w:cstheme="minorHAnsi"/>
                <w:bCs/>
                <w:noProof/>
              </w:rPr>
              <w:t>General Degree Requirements</w:t>
            </w:r>
            <w:r>
              <w:rPr>
                <w:noProof/>
                <w:webHidden/>
              </w:rPr>
              <w:tab/>
            </w:r>
            <w:r>
              <w:rPr>
                <w:noProof/>
                <w:webHidden/>
              </w:rPr>
              <w:fldChar w:fldCharType="begin"/>
            </w:r>
            <w:r>
              <w:rPr>
                <w:noProof/>
                <w:webHidden/>
              </w:rPr>
              <w:instrText xml:space="preserve"> PAGEREF _Toc111554531 \h </w:instrText>
            </w:r>
            <w:r>
              <w:rPr>
                <w:noProof/>
                <w:webHidden/>
              </w:rPr>
            </w:r>
            <w:r>
              <w:rPr>
                <w:noProof/>
                <w:webHidden/>
              </w:rPr>
              <w:fldChar w:fldCharType="separate"/>
            </w:r>
            <w:r>
              <w:rPr>
                <w:noProof/>
                <w:webHidden/>
              </w:rPr>
              <w:t>4</w:t>
            </w:r>
            <w:r>
              <w:rPr>
                <w:noProof/>
                <w:webHidden/>
              </w:rPr>
              <w:fldChar w:fldCharType="end"/>
            </w:r>
          </w:hyperlink>
        </w:p>
        <w:p w14:paraId="7A1BA807" w14:textId="1F817602" w:rsidR="004C7EAD" w:rsidRDefault="004C7EAD">
          <w:pPr>
            <w:pStyle w:val="TOC1"/>
            <w:tabs>
              <w:tab w:val="right" w:leader="dot" w:pos="10070"/>
            </w:tabs>
            <w:rPr>
              <w:rFonts w:asciiTheme="minorHAnsi" w:eastAsiaTheme="minorEastAsia" w:hAnsiTheme="minorHAnsi" w:cstheme="minorBidi"/>
              <w:noProof/>
              <w:color w:val="auto"/>
              <w:szCs w:val="24"/>
              <w:lang w:eastAsia="en-US"/>
            </w:rPr>
          </w:pPr>
          <w:hyperlink w:anchor="_Toc111554532" w:history="1">
            <w:r w:rsidRPr="00D40519">
              <w:rPr>
                <w:rStyle w:val="Hyperlink"/>
                <w:rFonts w:cstheme="minorHAnsi"/>
                <w:bCs/>
                <w:noProof/>
              </w:rPr>
              <w:t>Financial Assistance</w:t>
            </w:r>
            <w:r>
              <w:rPr>
                <w:noProof/>
                <w:webHidden/>
              </w:rPr>
              <w:tab/>
            </w:r>
            <w:r>
              <w:rPr>
                <w:noProof/>
                <w:webHidden/>
              </w:rPr>
              <w:fldChar w:fldCharType="begin"/>
            </w:r>
            <w:r>
              <w:rPr>
                <w:noProof/>
                <w:webHidden/>
              </w:rPr>
              <w:instrText xml:space="preserve"> PAGEREF _Toc111554532 \h </w:instrText>
            </w:r>
            <w:r>
              <w:rPr>
                <w:noProof/>
                <w:webHidden/>
              </w:rPr>
            </w:r>
            <w:r>
              <w:rPr>
                <w:noProof/>
                <w:webHidden/>
              </w:rPr>
              <w:fldChar w:fldCharType="separate"/>
            </w:r>
            <w:r>
              <w:rPr>
                <w:noProof/>
                <w:webHidden/>
              </w:rPr>
              <w:t>5</w:t>
            </w:r>
            <w:r>
              <w:rPr>
                <w:noProof/>
                <w:webHidden/>
              </w:rPr>
              <w:fldChar w:fldCharType="end"/>
            </w:r>
          </w:hyperlink>
        </w:p>
        <w:p w14:paraId="1209FDF8" w14:textId="3F639EEA" w:rsidR="004C7EAD" w:rsidRDefault="004C7EAD">
          <w:pPr>
            <w:pStyle w:val="TOC1"/>
            <w:tabs>
              <w:tab w:val="right" w:leader="dot" w:pos="10070"/>
            </w:tabs>
            <w:rPr>
              <w:rFonts w:asciiTheme="minorHAnsi" w:eastAsiaTheme="minorEastAsia" w:hAnsiTheme="minorHAnsi" w:cstheme="minorBidi"/>
              <w:noProof/>
              <w:color w:val="auto"/>
              <w:szCs w:val="24"/>
              <w:lang w:eastAsia="en-US"/>
            </w:rPr>
          </w:pPr>
          <w:hyperlink w:anchor="_Toc111554533" w:history="1">
            <w:r w:rsidRPr="00D40519">
              <w:rPr>
                <w:rStyle w:val="Hyperlink"/>
                <w:rFonts w:cstheme="minorHAnsi"/>
                <w:bCs/>
                <w:noProof/>
              </w:rPr>
              <w:t>Guidelines for Graduate Programs in Pharmacy</w:t>
            </w:r>
            <w:r>
              <w:rPr>
                <w:noProof/>
                <w:webHidden/>
              </w:rPr>
              <w:tab/>
            </w:r>
            <w:r>
              <w:rPr>
                <w:noProof/>
                <w:webHidden/>
              </w:rPr>
              <w:fldChar w:fldCharType="begin"/>
            </w:r>
            <w:r>
              <w:rPr>
                <w:noProof/>
                <w:webHidden/>
              </w:rPr>
              <w:instrText xml:space="preserve"> PAGEREF _Toc111554533 \h </w:instrText>
            </w:r>
            <w:r>
              <w:rPr>
                <w:noProof/>
                <w:webHidden/>
              </w:rPr>
            </w:r>
            <w:r>
              <w:rPr>
                <w:noProof/>
                <w:webHidden/>
              </w:rPr>
              <w:fldChar w:fldCharType="separate"/>
            </w:r>
            <w:r>
              <w:rPr>
                <w:noProof/>
                <w:webHidden/>
              </w:rPr>
              <w:t>6</w:t>
            </w:r>
            <w:r>
              <w:rPr>
                <w:noProof/>
                <w:webHidden/>
              </w:rPr>
              <w:fldChar w:fldCharType="end"/>
            </w:r>
          </w:hyperlink>
        </w:p>
        <w:p w14:paraId="2460DC73" w14:textId="7C6CF909" w:rsidR="004C7EAD" w:rsidRDefault="004C7EAD">
          <w:pPr>
            <w:pStyle w:val="TOC2"/>
            <w:tabs>
              <w:tab w:val="right" w:leader="dot" w:pos="10070"/>
            </w:tabs>
            <w:rPr>
              <w:rFonts w:asciiTheme="minorHAnsi" w:eastAsiaTheme="minorEastAsia" w:hAnsiTheme="minorHAnsi" w:cstheme="minorBidi"/>
              <w:noProof/>
              <w:color w:val="auto"/>
              <w:szCs w:val="24"/>
              <w:lang w:eastAsia="en-US"/>
            </w:rPr>
          </w:pPr>
          <w:hyperlink w:anchor="_Toc111554534" w:history="1">
            <w:r w:rsidRPr="00D40519">
              <w:rPr>
                <w:rStyle w:val="Hyperlink"/>
                <w:rFonts w:cstheme="minorHAnsi"/>
                <w:bCs/>
                <w:noProof/>
              </w:rPr>
              <w:t>MSc Program</w:t>
            </w:r>
            <w:r>
              <w:rPr>
                <w:noProof/>
                <w:webHidden/>
              </w:rPr>
              <w:tab/>
            </w:r>
            <w:r>
              <w:rPr>
                <w:noProof/>
                <w:webHidden/>
              </w:rPr>
              <w:fldChar w:fldCharType="begin"/>
            </w:r>
            <w:r>
              <w:rPr>
                <w:noProof/>
                <w:webHidden/>
              </w:rPr>
              <w:instrText xml:space="preserve"> PAGEREF _Toc111554534 \h </w:instrText>
            </w:r>
            <w:r>
              <w:rPr>
                <w:noProof/>
                <w:webHidden/>
              </w:rPr>
            </w:r>
            <w:r>
              <w:rPr>
                <w:noProof/>
                <w:webHidden/>
              </w:rPr>
              <w:fldChar w:fldCharType="separate"/>
            </w:r>
            <w:r>
              <w:rPr>
                <w:noProof/>
                <w:webHidden/>
              </w:rPr>
              <w:t>8</w:t>
            </w:r>
            <w:r>
              <w:rPr>
                <w:noProof/>
                <w:webHidden/>
              </w:rPr>
              <w:fldChar w:fldCharType="end"/>
            </w:r>
          </w:hyperlink>
        </w:p>
        <w:p w14:paraId="32F5FAF3" w14:textId="0A2743E2" w:rsidR="004C7EAD" w:rsidRDefault="004C7EAD">
          <w:pPr>
            <w:pStyle w:val="TOC3"/>
            <w:tabs>
              <w:tab w:val="right" w:leader="dot" w:pos="10070"/>
            </w:tabs>
            <w:rPr>
              <w:rFonts w:asciiTheme="minorHAnsi" w:eastAsiaTheme="minorEastAsia" w:hAnsiTheme="minorHAnsi" w:cstheme="minorBidi"/>
              <w:noProof/>
              <w:color w:val="auto"/>
              <w:szCs w:val="24"/>
              <w:lang w:eastAsia="en-US"/>
            </w:rPr>
          </w:pPr>
          <w:hyperlink w:anchor="_Toc111554535" w:history="1">
            <w:r w:rsidRPr="00D40519">
              <w:rPr>
                <w:rStyle w:val="Hyperlink"/>
                <w:rFonts w:cstheme="minorHAnsi"/>
                <w:noProof/>
              </w:rPr>
              <w:t>Master’s Thesis</w:t>
            </w:r>
            <w:r>
              <w:rPr>
                <w:noProof/>
                <w:webHidden/>
              </w:rPr>
              <w:tab/>
            </w:r>
            <w:r>
              <w:rPr>
                <w:noProof/>
                <w:webHidden/>
              </w:rPr>
              <w:fldChar w:fldCharType="begin"/>
            </w:r>
            <w:r>
              <w:rPr>
                <w:noProof/>
                <w:webHidden/>
              </w:rPr>
              <w:instrText xml:space="preserve"> PAGEREF _Toc111554535 \h </w:instrText>
            </w:r>
            <w:r>
              <w:rPr>
                <w:noProof/>
                <w:webHidden/>
              </w:rPr>
            </w:r>
            <w:r>
              <w:rPr>
                <w:noProof/>
                <w:webHidden/>
              </w:rPr>
              <w:fldChar w:fldCharType="separate"/>
            </w:r>
            <w:r>
              <w:rPr>
                <w:noProof/>
                <w:webHidden/>
              </w:rPr>
              <w:t>9</w:t>
            </w:r>
            <w:r>
              <w:rPr>
                <w:noProof/>
                <w:webHidden/>
              </w:rPr>
              <w:fldChar w:fldCharType="end"/>
            </w:r>
          </w:hyperlink>
        </w:p>
        <w:p w14:paraId="21A90795" w14:textId="2A397AF6" w:rsidR="004C7EAD" w:rsidRDefault="004C7EAD">
          <w:pPr>
            <w:pStyle w:val="TOC2"/>
            <w:tabs>
              <w:tab w:val="right" w:leader="dot" w:pos="10070"/>
            </w:tabs>
            <w:rPr>
              <w:rFonts w:asciiTheme="minorHAnsi" w:eastAsiaTheme="minorEastAsia" w:hAnsiTheme="minorHAnsi" w:cstheme="minorBidi"/>
              <w:noProof/>
              <w:color w:val="auto"/>
              <w:szCs w:val="24"/>
              <w:lang w:eastAsia="en-US"/>
            </w:rPr>
          </w:pPr>
          <w:hyperlink w:anchor="_Toc111554536" w:history="1">
            <w:r w:rsidRPr="00D40519">
              <w:rPr>
                <w:rStyle w:val="Hyperlink"/>
                <w:rFonts w:cstheme="minorHAnsi"/>
                <w:bCs/>
                <w:noProof/>
              </w:rPr>
              <w:t>PhD Program</w:t>
            </w:r>
            <w:r>
              <w:rPr>
                <w:noProof/>
                <w:webHidden/>
              </w:rPr>
              <w:tab/>
            </w:r>
            <w:r>
              <w:rPr>
                <w:noProof/>
                <w:webHidden/>
              </w:rPr>
              <w:fldChar w:fldCharType="begin"/>
            </w:r>
            <w:r>
              <w:rPr>
                <w:noProof/>
                <w:webHidden/>
              </w:rPr>
              <w:instrText xml:space="preserve"> PAGEREF _Toc111554536 \h </w:instrText>
            </w:r>
            <w:r>
              <w:rPr>
                <w:noProof/>
                <w:webHidden/>
              </w:rPr>
            </w:r>
            <w:r>
              <w:rPr>
                <w:noProof/>
                <w:webHidden/>
              </w:rPr>
              <w:fldChar w:fldCharType="separate"/>
            </w:r>
            <w:r>
              <w:rPr>
                <w:noProof/>
                <w:webHidden/>
              </w:rPr>
              <w:t>11</w:t>
            </w:r>
            <w:r>
              <w:rPr>
                <w:noProof/>
                <w:webHidden/>
              </w:rPr>
              <w:fldChar w:fldCharType="end"/>
            </w:r>
          </w:hyperlink>
        </w:p>
        <w:p w14:paraId="6C94A7A8" w14:textId="511A7F8F" w:rsidR="004C7EAD" w:rsidRDefault="004C7EAD">
          <w:pPr>
            <w:pStyle w:val="TOC3"/>
            <w:tabs>
              <w:tab w:val="right" w:leader="dot" w:pos="10070"/>
            </w:tabs>
            <w:rPr>
              <w:rFonts w:asciiTheme="minorHAnsi" w:eastAsiaTheme="minorEastAsia" w:hAnsiTheme="minorHAnsi" w:cstheme="minorBidi"/>
              <w:noProof/>
              <w:color w:val="auto"/>
              <w:szCs w:val="24"/>
              <w:lang w:eastAsia="en-US"/>
            </w:rPr>
          </w:pPr>
          <w:hyperlink w:anchor="_Toc111554537" w:history="1">
            <w:r w:rsidRPr="00D40519">
              <w:rPr>
                <w:rStyle w:val="Hyperlink"/>
                <w:rFonts w:cstheme="minorHAnsi"/>
                <w:bCs/>
                <w:i/>
                <w:iCs/>
                <w:noProof/>
              </w:rPr>
              <w:t>Doctoral Thesis</w:t>
            </w:r>
            <w:r>
              <w:rPr>
                <w:noProof/>
                <w:webHidden/>
              </w:rPr>
              <w:tab/>
            </w:r>
            <w:r>
              <w:rPr>
                <w:noProof/>
                <w:webHidden/>
              </w:rPr>
              <w:fldChar w:fldCharType="begin"/>
            </w:r>
            <w:r>
              <w:rPr>
                <w:noProof/>
                <w:webHidden/>
              </w:rPr>
              <w:instrText xml:space="preserve"> PAGEREF _Toc111554537 \h </w:instrText>
            </w:r>
            <w:r>
              <w:rPr>
                <w:noProof/>
                <w:webHidden/>
              </w:rPr>
            </w:r>
            <w:r>
              <w:rPr>
                <w:noProof/>
                <w:webHidden/>
              </w:rPr>
              <w:fldChar w:fldCharType="separate"/>
            </w:r>
            <w:r>
              <w:rPr>
                <w:noProof/>
                <w:webHidden/>
              </w:rPr>
              <w:t>14</w:t>
            </w:r>
            <w:r>
              <w:rPr>
                <w:noProof/>
                <w:webHidden/>
              </w:rPr>
              <w:fldChar w:fldCharType="end"/>
            </w:r>
          </w:hyperlink>
        </w:p>
        <w:p w14:paraId="1DF0D1A4" w14:textId="651DD363" w:rsidR="004C7EAD" w:rsidRDefault="004C7EAD">
          <w:pPr>
            <w:pStyle w:val="TOC1"/>
            <w:tabs>
              <w:tab w:val="right" w:leader="dot" w:pos="10070"/>
            </w:tabs>
            <w:rPr>
              <w:rFonts w:asciiTheme="minorHAnsi" w:eastAsiaTheme="minorEastAsia" w:hAnsiTheme="minorHAnsi" w:cstheme="minorBidi"/>
              <w:noProof/>
              <w:color w:val="auto"/>
              <w:szCs w:val="24"/>
              <w:lang w:eastAsia="en-US"/>
            </w:rPr>
          </w:pPr>
          <w:hyperlink w:anchor="_Toc111554538" w:history="1">
            <w:r w:rsidRPr="00D40519">
              <w:rPr>
                <w:rStyle w:val="Hyperlink"/>
                <w:rFonts w:cstheme="minorHAnsi"/>
                <w:noProof/>
              </w:rPr>
              <w:t>Termination of a Graduate Program</w:t>
            </w:r>
            <w:r>
              <w:rPr>
                <w:noProof/>
                <w:webHidden/>
              </w:rPr>
              <w:tab/>
            </w:r>
            <w:r>
              <w:rPr>
                <w:noProof/>
                <w:webHidden/>
              </w:rPr>
              <w:fldChar w:fldCharType="begin"/>
            </w:r>
            <w:r>
              <w:rPr>
                <w:noProof/>
                <w:webHidden/>
              </w:rPr>
              <w:instrText xml:space="preserve"> PAGEREF _Toc111554538 \h </w:instrText>
            </w:r>
            <w:r>
              <w:rPr>
                <w:noProof/>
                <w:webHidden/>
              </w:rPr>
            </w:r>
            <w:r>
              <w:rPr>
                <w:noProof/>
                <w:webHidden/>
              </w:rPr>
              <w:fldChar w:fldCharType="separate"/>
            </w:r>
            <w:r>
              <w:rPr>
                <w:noProof/>
                <w:webHidden/>
              </w:rPr>
              <w:t>17</w:t>
            </w:r>
            <w:r>
              <w:rPr>
                <w:noProof/>
                <w:webHidden/>
              </w:rPr>
              <w:fldChar w:fldCharType="end"/>
            </w:r>
          </w:hyperlink>
        </w:p>
        <w:p w14:paraId="3AA752ED" w14:textId="30EF1494" w:rsidR="004C7EAD" w:rsidRDefault="004C7EAD">
          <w:pPr>
            <w:pStyle w:val="TOC1"/>
            <w:tabs>
              <w:tab w:val="right" w:leader="dot" w:pos="10070"/>
            </w:tabs>
            <w:rPr>
              <w:rFonts w:asciiTheme="minorHAnsi" w:eastAsiaTheme="minorEastAsia" w:hAnsiTheme="minorHAnsi" w:cstheme="minorBidi"/>
              <w:noProof/>
              <w:color w:val="auto"/>
              <w:szCs w:val="24"/>
              <w:lang w:eastAsia="en-US"/>
            </w:rPr>
          </w:pPr>
          <w:hyperlink w:anchor="_Toc111554539" w:history="1">
            <w:r w:rsidRPr="00D40519">
              <w:rPr>
                <w:rStyle w:val="Hyperlink"/>
                <w:rFonts w:cstheme="minorHAnsi"/>
                <w:noProof/>
              </w:rPr>
              <w:t>APPENDIX A</w:t>
            </w:r>
            <w:r>
              <w:rPr>
                <w:noProof/>
                <w:webHidden/>
              </w:rPr>
              <w:tab/>
            </w:r>
            <w:r>
              <w:rPr>
                <w:noProof/>
                <w:webHidden/>
              </w:rPr>
              <w:fldChar w:fldCharType="begin"/>
            </w:r>
            <w:r>
              <w:rPr>
                <w:noProof/>
                <w:webHidden/>
              </w:rPr>
              <w:instrText xml:space="preserve"> PAGEREF _Toc111554539 \h </w:instrText>
            </w:r>
            <w:r>
              <w:rPr>
                <w:noProof/>
                <w:webHidden/>
              </w:rPr>
            </w:r>
            <w:r>
              <w:rPr>
                <w:noProof/>
                <w:webHidden/>
              </w:rPr>
              <w:fldChar w:fldCharType="separate"/>
            </w:r>
            <w:r>
              <w:rPr>
                <w:noProof/>
                <w:webHidden/>
              </w:rPr>
              <w:t>18</w:t>
            </w:r>
            <w:r>
              <w:rPr>
                <w:noProof/>
                <w:webHidden/>
              </w:rPr>
              <w:fldChar w:fldCharType="end"/>
            </w:r>
          </w:hyperlink>
        </w:p>
        <w:p w14:paraId="4025197A" w14:textId="770D5509" w:rsidR="004C7EAD" w:rsidRDefault="004C7EAD">
          <w:pPr>
            <w:pStyle w:val="TOC2"/>
            <w:tabs>
              <w:tab w:val="right" w:leader="dot" w:pos="10070"/>
            </w:tabs>
            <w:rPr>
              <w:rFonts w:asciiTheme="minorHAnsi" w:eastAsiaTheme="minorEastAsia" w:hAnsiTheme="minorHAnsi" w:cstheme="minorBidi"/>
              <w:noProof/>
              <w:color w:val="auto"/>
              <w:szCs w:val="24"/>
              <w:lang w:eastAsia="en-US"/>
            </w:rPr>
          </w:pPr>
          <w:hyperlink w:anchor="_Toc111554540" w:history="1">
            <w:r w:rsidRPr="00D40519">
              <w:rPr>
                <w:rStyle w:val="Hyperlink"/>
                <w:rFonts w:cstheme="minorHAnsi"/>
                <w:noProof/>
              </w:rPr>
              <w:t>PROCESSES AND REGULATIONS OF GRADUATE STUDIES</w:t>
            </w:r>
            <w:r>
              <w:rPr>
                <w:noProof/>
                <w:webHidden/>
              </w:rPr>
              <w:tab/>
            </w:r>
            <w:r>
              <w:rPr>
                <w:noProof/>
                <w:webHidden/>
              </w:rPr>
              <w:fldChar w:fldCharType="begin"/>
            </w:r>
            <w:r>
              <w:rPr>
                <w:noProof/>
                <w:webHidden/>
              </w:rPr>
              <w:instrText xml:space="preserve"> PAGEREF _Toc111554540 \h </w:instrText>
            </w:r>
            <w:r>
              <w:rPr>
                <w:noProof/>
                <w:webHidden/>
              </w:rPr>
            </w:r>
            <w:r>
              <w:rPr>
                <w:noProof/>
                <w:webHidden/>
              </w:rPr>
              <w:fldChar w:fldCharType="separate"/>
            </w:r>
            <w:r>
              <w:rPr>
                <w:noProof/>
                <w:webHidden/>
              </w:rPr>
              <w:t>18</w:t>
            </w:r>
            <w:r>
              <w:rPr>
                <w:noProof/>
                <w:webHidden/>
              </w:rPr>
              <w:fldChar w:fldCharType="end"/>
            </w:r>
          </w:hyperlink>
        </w:p>
        <w:p w14:paraId="6A4F2CD1" w14:textId="7D26F9BD" w:rsidR="004C7EAD" w:rsidRDefault="004C7EAD">
          <w:pPr>
            <w:pStyle w:val="TOC1"/>
            <w:tabs>
              <w:tab w:val="right" w:leader="dot" w:pos="10070"/>
            </w:tabs>
            <w:rPr>
              <w:rFonts w:asciiTheme="minorHAnsi" w:eastAsiaTheme="minorEastAsia" w:hAnsiTheme="minorHAnsi" w:cstheme="minorBidi"/>
              <w:noProof/>
              <w:color w:val="auto"/>
              <w:szCs w:val="24"/>
              <w:lang w:eastAsia="en-US"/>
            </w:rPr>
          </w:pPr>
          <w:hyperlink w:anchor="_Toc111554541" w:history="1">
            <w:r w:rsidRPr="00D40519">
              <w:rPr>
                <w:rStyle w:val="Hyperlink"/>
                <w:rFonts w:cstheme="minorHAnsi"/>
                <w:noProof/>
              </w:rPr>
              <w:t>APPENDIX B</w:t>
            </w:r>
            <w:r>
              <w:rPr>
                <w:noProof/>
                <w:webHidden/>
              </w:rPr>
              <w:tab/>
            </w:r>
            <w:r>
              <w:rPr>
                <w:noProof/>
                <w:webHidden/>
              </w:rPr>
              <w:fldChar w:fldCharType="begin"/>
            </w:r>
            <w:r>
              <w:rPr>
                <w:noProof/>
                <w:webHidden/>
              </w:rPr>
              <w:instrText xml:space="preserve"> PAGEREF _Toc111554541 \h </w:instrText>
            </w:r>
            <w:r>
              <w:rPr>
                <w:noProof/>
                <w:webHidden/>
              </w:rPr>
            </w:r>
            <w:r>
              <w:rPr>
                <w:noProof/>
                <w:webHidden/>
              </w:rPr>
              <w:fldChar w:fldCharType="separate"/>
            </w:r>
            <w:r>
              <w:rPr>
                <w:noProof/>
                <w:webHidden/>
              </w:rPr>
              <w:t>19</w:t>
            </w:r>
            <w:r>
              <w:rPr>
                <w:noProof/>
                <w:webHidden/>
              </w:rPr>
              <w:fldChar w:fldCharType="end"/>
            </w:r>
          </w:hyperlink>
        </w:p>
        <w:p w14:paraId="24B87DAD" w14:textId="7A774369" w:rsidR="001F0ED9" w:rsidRDefault="001F0ED9" w:rsidP="008305ED">
          <w:pPr>
            <w:spacing w:line="240" w:lineRule="auto"/>
            <w:ind w:right="15"/>
          </w:pPr>
          <w:r w:rsidRPr="00EA6A81">
            <w:rPr>
              <w:b/>
              <w:bCs/>
              <w:noProof/>
              <w:color w:val="000000" w:themeColor="text1"/>
            </w:rPr>
            <w:fldChar w:fldCharType="end"/>
          </w:r>
        </w:p>
      </w:sdtContent>
    </w:sdt>
    <w:p w14:paraId="54BA1636" w14:textId="77777777" w:rsidR="006E5D8F" w:rsidRDefault="006E5D8F" w:rsidP="008305ED">
      <w:pPr>
        <w:spacing w:after="0" w:line="240" w:lineRule="auto"/>
        <w:ind w:left="0" w:right="15" w:firstLine="0"/>
        <w:jc w:val="left"/>
      </w:pPr>
    </w:p>
    <w:p w14:paraId="01F2F096" w14:textId="77777777" w:rsidR="001F0ED9" w:rsidRDefault="001F0ED9" w:rsidP="008305ED">
      <w:pPr>
        <w:spacing w:after="160" w:line="240" w:lineRule="auto"/>
        <w:ind w:left="0" w:right="15" w:firstLine="0"/>
        <w:jc w:val="left"/>
        <w:rPr>
          <w:b/>
          <w:sz w:val="32"/>
          <w:u w:val="single" w:color="000000"/>
        </w:rPr>
      </w:pPr>
      <w:r>
        <w:br w:type="page"/>
      </w:r>
    </w:p>
    <w:p w14:paraId="60044B3C" w14:textId="77777777" w:rsidR="006E5D8F" w:rsidRPr="00AA5A22" w:rsidRDefault="00D30958" w:rsidP="008305ED">
      <w:pPr>
        <w:pStyle w:val="Heading3"/>
        <w:rPr>
          <w:b w:val="0"/>
          <w:szCs w:val="32"/>
        </w:rPr>
      </w:pPr>
      <w:bookmarkStart w:id="1" w:name="_Toc111554529"/>
      <w:r w:rsidRPr="00AA5A22">
        <w:rPr>
          <w:rFonts w:asciiTheme="minorHAnsi" w:hAnsiTheme="minorHAnsi" w:cstheme="minorHAnsi"/>
          <w:szCs w:val="32"/>
        </w:rPr>
        <w:lastRenderedPageBreak/>
        <w:t>Introduction</w:t>
      </w:r>
      <w:bookmarkEnd w:id="1"/>
      <w:r w:rsidRPr="00AA5A22">
        <w:rPr>
          <w:rFonts w:asciiTheme="minorHAnsi" w:hAnsiTheme="minorHAnsi" w:cstheme="minorHAnsi"/>
          <w:szCs w:val="32"/>
        </w:rPr>
        <w:t xml:space="preserve"> </w:t>
      </w:r>
      <w:r w:rsidRPr="00AA5A22">
        <w:rPr>
          <w:b w:val="0"/>
          <w:szCs w:val="32"/>
        </w:rPr>
        <w:tab/>
        <w:t xml:space="preserve"> </w:t>
      </w:r>
    </w:p>
    <w:p w14:paraId="1FC7251A" w14:textId="77777777" w:rsidR="0030073D" w:rsidRPr="0030073D" w:rsidRDefault="0030073D" w:rsidP="008305ED">
      <w:pPr>
        <w:spacing w:line="240" w:lineRule="auto"/>
        <w:ind w:right="15"/>
      </w:pPr>
    </w:p>
    <w:p w14:paraId="35E71AEE" w14:textId="3C1EC1ED" w:rsidR="006E5D8F" w:rsidRPr="001F0ED9" w:rsidRDefault="00D30958" w:rsidP="008305ED">
      <w:pPr>
        <w:spacing w:after="0" w:line="240" w:lineRule="auto"/>
        <w:ind w:left="-5" w:right="15"/>
        <w:jc w:val="left"/>
        <w:rPr>
          <w:rFonts w:asciiTheme="minorHAnsi" w:hAnsiTheme="minorHAnsi" w:cstheme="minorHAnsi"/>
          <w:sz w:val="22"/>
        </w:rPr>
      </w:pPr>
      <w:r w:rsidRPr="001F0ED9">
        <w:rPr>
          <w:rFonts w:asciiTheme="minorHAnsi" w:hAnsiTheme="minorHAnsi" w:cstheme="minorHAnsi"/>
          <w:sz w:val="22"/>
        </w:rPr>
        <w:t>Memorial University’s School of Pharmacy provides cutting-edge research in an up-close and personal environment</w:t>
      </w:r>
      <w:r w:rsidR="0033580A">
        <w:rPr>
          <w:rFonts w:asciiTheme="minorHAnsi" w:hAnsiTheme="minorHAnsi" w:cstheme="minorHAnsi"/>
          <w:sz w:val="22"/>
        </w:rPr>
        <w:t xml:space="preserve"> for</w:t>
      </w:r>
      <w:r w:rsidR="0033580A" w:rsidRPr="001F0ED9">
        <w:rPr>
          <w:rFonts w:asciiTheme="minorHAnsi" w:hAnsiTheme="minorHAnsi" w:cstheme="minorHAnsi"/>
          <w:sz w:val="22"/>
        </w:rPr>
        <w:t xml:space="preserve"> </w:t>
      </w:r>
      <w:r w:rsidRPr="001F0ED9">
        <w:rPr>
          <w:rFonts w:asciiTheme="minorHAnsi" w:hAnsiTheme="minorHAnsi" w:cstheme="minorHAnsi"/>
          <w:sz w:val="22"/>
        </w:rPr>
        <w:t>graduate students to conduct original research related to Drug Discovery and Delivery, Health Outcomes, and the Scholarship of Teaching and Learning.</w:t>
      </w:r>
      <w:r w:rsidR="00E61784">
        <w:rPr>
          <w:rFonts w:asciiTheme="minorHAnsi" w:hAnsiTheme="minorHAnsi" w:cstheme="minorHAnsi"/>
          <w:sz w:val="22"/>
        </w:rPr>
        <w:t xml:space="preserve"> </w:t>
      </w:r>
      <w:r w:rsidRPr="001F0ED9">
        <w:rPr>
          <w:rFonts w:asciiTheme="minorHAnsi" w:hAnsiTheme="minorHAnsi" w:cstheme="minorHAnsi"/>
          <w:sz w:val="22"/>
        </w:rPr>
        <w:t xml:space="preserve">There are several research laboratories, including separate rooms for organic synthesis/natural products chemistry, a cell culture facility, pharmacology labs and state of the art computer networks. </w:t>
      </w:r>
    </w:p>
    <w:p w14:paraId="7E00F70C"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0D9FEB3E" w14:textId="6824C0C7" w:rsidR="006E5D8F" w:rsidRPr="001F0ED9" w:rsidRDefault="00D30958" w:rsidP="008305ED">
      <w:pPr>
        <w:spacing w:line="240" w:lineRule="auto"/>
        <w:ind w:left="-5" w:right="15"/>
        <w:rPr>
          <w:rFonts w:asciiTheme="minorHAnsi" w:hAnsiTheme="minorHAnsi" w:cstheme="minorHAnsi"/>
          <w:sz w:val="22"/>
        </w:rPr>
      </w:pPr>
      <w:r w:rsidRPr="001F0ED9">
        <w:rPr>
          <w:rFonts w:asciiTheme="minorHAnsi" w:hAnsiTheme="minorHAnsi" w:cstheme="minorHAnsi"/>
          <w:sz w:val="22"/>
        </w:rPr>
        <w:t xml:space="preserve">Graduate supervisors in Memorial’s School of Pharmacy are engaged in research in the following areas:  </w:t>
      </w:r>
    </w:p>
    <w:p w14:paraId="4B105522"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4C9EC840" w14:textId="49210B0C" w:rsidR="006E5D8F" w:rsidRPr="00AC306C" w:rsidRDefault="00D30958" w:rsidP="008305ED">
      <w:pPr>
        <w:spacing w:after="5" w:line="240" w:lineRule="auto"/>
        <w:ind w:left="-5" w:right="15"/>
        <w:jc w:val="left"/>
        <w:rPr>
          <w:rFonts w:asciiTheme="minorHAnsi" w:hAnsiTheme="minorHAnsi" w:cstheme="minorHAnsi"/>
          <w:szCs w:val="24"/>
        </w:rPr>
      </w:pPr>
      <w:r w:rsidRPr="00AC306C">
        <w:rPr>
          <w:rFonts w:asciiTheme="minorHAnsi" w:hAnsiTheme="minorHAnsi" w:cstheme="minorHAnsi"/>
          <w:b/>
          <w:szCs w:val="24"/>
        </w:rPr>
        <w:t>Drug Discovery and Delivery</w:t>
      </w:r>
      <w:r w:rsidR="004444D8">
        <w:rPr>
          <w:rFonts w:asciiTheme="minorHAnsi" w:hAnsiTheme="minorHAnsi" w:cstheme="minorHAnsi"/>
          <w:b/>
          <w:szCs w:val="24"/>
        </w:rPr>
        <w:t>:</w:t>
      </w:r>
      <w:r w:rsidRPr="00AC306C">
        <w:rPr>
          <w:rFonts w:asciiTheme="minorHAnsi" w:hAnsiTheme="minorHAnsi" w:cstheme="minorHAnsi"/>
          <w:b/>
          <w:szCs w:val="24"/>
        </w:rPr>
        <w:t xml:space="preserve"> </w:t>
      </w:r>
    </w:p>
    <w:p w14:paraId="0275235C" w14:textId="77777777" w:rsidR="006E5D8F" w:rsidRPr="001F0ED9" w:rsidRDefault="00D30958" w:rsidP="001E2685">
      <w:pPr>
        <w:numPr>
          <w:ilvl w:val="0"/>
          <w:numId w:val="1"/>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Neuropharmacology / Mechanisms of Toxicity and Protection in Neurons </w:t>
      </w:r>
    </w:p>
    <w:p w14:paraId="62DA274F" w14:textId="3834CF12" w:rsidR="006E5D8F" w:rsidRPr="001F0ED9" w:rsidRDefault="00D30958" w:rsidP="001E2685">
      <w:pPr>
        <w:numPr>
          <w:ilvl w:val="0"/>
          <w:numId w:val="1"/>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Cardiovascular Pharmacology-Pharmacokinetics/Mechanisms of</w:t>
      </w:r>
      <w:r w:rsidR="004D47CF">
        <w:rPr>
          <w:rFonts w:asciiTheme="minorHAnsi" w:hAnsiTheme="minorHAnsi" w:cstheme="minorHAnsi"/>
          <w:sz w:val="22"/>
        </w:rPr>
        <w:t xml:space="preserve"> </w:t>
      </w:r>
      <w:r w:rsidRPr="001F0ED9">
        <w:rPr>
          <w:rFonts w:asciiTheme="minorHAnsi" w:hAnsiTheme="minorHAnsi" w:cstheme="minorHAnsi"/>
          <w:sz w:val="22"/>
        </w:rPr>
        <w:t xml:space="preserve">Cardiovascular dysfunction in Autoimmune Diseases </w:t>
      </w:r>
    </w:p>
    <w:p w14:paraId="63DCB3D4" w14:textId="7889D74C" w:rsidR="006E5D8F" w:rsidRPr="004D47CF" w:rsidRDefault="00D30958" w:rsidP="001E2685">
      <w:pPr>
        <w:numPr>
          <w:ilvl w:val="0"/>
          <w:numId w:val="1"/>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Computational Chemistry and Structural Biochemistry / Computer-aided Drug Design and High-Throughput Screening, Drug-Protein and Protein-Protein </w:t>
      </w:r>
      <w:r w:rsidRPr="004D47CF">
        <w:rPr>
          <w:rFonts w:asciiTheme="minorHAnsi" w:hAnsiTheme="minorHAnsi" w:cstheme="minorHAnsi"/>
          <w:sz w:val="22"/>
        </w:rPr>
        <w:t xml:space="preserve">Complexations </w:t>
      </w:r>
    </w:p>
    <w:p w14:paraId="24EBC554"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03FDDDEB" w14:textId="13B1B41D" w:rsidR="006E5D8F" w:rsidRPr="00AC306C" w:rsidRDefault="00D30958" w:rsidP="008305ED">
      <w:pPr>
        <w:spacing w:after="5" w:line="240" w:lineRule="auto"/>
        <w:ind w:left="-5" w:right="15"/>
        <w:jc w:val="left"/>
        <w:rPr>
          <w:rFonts w:asciiTheme="minorHAnsi" w:hAnsiTheme="minorHAnsi" w:cstheme="minorHAnsi"/>
          <w:szCs w:val="24"/>
        </w:rPr>
      </w:pPr>
      <w:r w:rsidRPr="00AC306C">
        <w:rPr>
          <w:rFonts w:asciiTheme="minorHAnsi" w:hAnsiTheme="minorHAnsi" w:cstheme="minorHAnsi"/>
          <w:b/>
          <w:szCs w:val="24"/>
        </w:rPr>
        <w:t>Health Outcomes</w:t>
      </w:r>
      <w:r w:rsidR="004444D8">
        <w:rPr>
          <w:rFonts w:asciiTheme="minorHAnsi" w:hAnsiTheme="minorHAnsi" w:cstheme="minorHAnsi"/>
          <w:b/>
          <w:szCs w:val="24"/>
        </w:rPr>
        <w:t>:</w:t>
      </w:r>
    </w:p>
    <w:p w14:paraId="3D372EE7" w14:textId="77777777" w:rsidR="006E5D8F" w:rsidRPr="001F0ED9" w:rsidRDefault="00D30958" w:rsidP="001E2685">
      <w:pPr>
        <w:numPr>
          <w:ilvl w:val="0"/>
          <w:numId w:val="34"/>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Pharmacoepidemiology / Pharmaceutical policy evaluation </w:t>
      </w:r>
    </w:p>
    <w:p w14:paraId="090F260B" w14:textId="77777777" w:rsidR="006E5D8F" w:rsidRPr="001F0ED9" w:rsidRDefault="00D30958" w:rsidP="001E2685">
      <w:pPr>
        <w:numPr>
          <w:ilvl w:val="0"/>
          <w:numId w:val="34"/>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Pharmacy Practice / Expanded Scope of Practice </w:t>
      </w:r>
    </w:p>
    <w:p w14:paraId="25332A79" w14:textId="77777777" w:rsidR="006E5D8F" w:rsidRPr="001F0ED9" w:rsidRDefault="00D30958" w:rsidP="001E2685">
      <w:pPr>
        <w:numPr>
          <w:ilvl w:val="0"/>
          <w:numId w:val="34"/>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Chronic Disease Outcomes (Adult and Childhood Obesity, HIV/AIDS, Respiratory Disease, Diabetes) </w:t>
      </w:r>
    </w:p>
    <w:p w14:paraId="36F11975" w14:textId="77777777" w:rsidR="006E5D8F" w:rsidRDefault="00D30958" w:rsidP="001E2685">
      <w:pPr>
        <w:numPr>
          <w:ilvl w:val="0"/>
          <w:numId w:val="34"/>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Utilization of Pharmacy Services and Other Health Services </w:t>
      </w:r>
    </w:p>
    <w:p w14:paraId="657CEF40" w14:textId="3FCD1B7B" w:rsidR="004D47CF" w:rsidRPr="001F0ED9" w:rsidRDefault="004D47CF" w:rsidP="001E2685">
      <w:pPr>
        <w:numPr>
          <w:ilvl w:val="0"/>
          <w:numId w:val="34"/>
        </w:numPr>
        <w:spacing w:line="240" w:lineRule="auto"/>
        <w:ind w:left="709" w:right="15" w:hanging="425"/>
        <w:jc w:val="left"/>
        <w:rPr>
          <w:rFonts w:asciiTheme="minorHAnsi" w:hAnsiTheme="minorHAnsi" w:cstheme="minorHAnsi"/>
          <w:sz w:val="22"/>
        </w:rPr>
      </w:pPr>
      <w:r>
        <w:rPr>
          <w:rFonts w:asciiTheme="minorHAnsi" w:hAnsiTheme="minorHAnsi" w:cstheme="minorHAnsi"/>
          <w:sz w:val="22"/>
        </w:rPr>
        <w:t>Health Economics</w:t>
      </w:r>
    </w:p>
    <w:p w14:paraId="5A6A6B81" w14:textId="77777777" w:rsidR="006E5D8F" w:rsidRPr="001F0ED9" w:rsidRDefault="00D30958" w:rsidP="001E2685">
      <w:pPr>
        <w:numPr>
          <w:ilvl w:val="0"/>
          <w:numId w:val="34"/>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Mental Health and Addictions, Community Based Participatory Research </w:t>
      </w:r>
    </w:p>
    <w:p w14:paraId="3FAB1113"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20BADE3F" w14:textId="23576D77" w:rsidR="006E5D8F" w:rsidRPr="00AC306C" w:rsidRDefault="00D30958" w:rsidP="008305ED">
      <w:pPr>
        <w:spacing w:after="5" w:line="240" w:lineRule="auto"/>
        <w:ind w:left="-5" w:right="15"/>
        <w:jc w:val="left"/>
        <w:rPr>
          <w:rFonts w:asciiTheme="minorHAnsi" w:hAnsiTheme="minorHAnsi" w:cstheme="minorHAnsi"/>
          <w:szCs w:val="24"/>
        </w:rPr>
      </w:pPr>
      <w:r w:rsidRPr="00AC306C">
        <w:rPr>
          <w:rFonts w:asciiTheme="minorHAnsi" w:hAnsiTheme="minorHAnsi" w:cstheme="minorHAnsi"/>
          <w:b/>
          <w:szCs w:val="24"/>
        </w:rPr>
        <w:t>The Scholarship of Teaching and Learning</w:t>
      </w:r>
      <w:r w:rsidR="004444D8">
        <w:rPr>
          <w:rFonts w:asciiTheme="minorHAnsi" w:hAnsiTheme="minorHAnsi" w:cstheme="minorHAnsi"/>
          <w:b/>
          <w:szCs w:val="24"/>
        </w:rPr>
        <w:t>:</w:t>
      </w:r>
      <w:r w:rsidRPr="00AC306C">
        <w:rPr>
          <w:rFonts w:asciiTheme="minorHAnsi" w:hAnsiTheme="minorHAnsi" w:cstheme="minorHAnsi"/>
          <w:b/>
          <w:szCs w:val="24"/>
        </w:rPr>
        <w:t xml:space="preserve"> </w:t>
      </w:r>
    </w:p>
    <w:p w14:paraId="3BECD048" w14:textId="77777777" w:rsidR="006E5D8F" w:rsidRPr="001F0ED9" w:rsidRDefault="00D30958" w:rsidP="001E2685">
      <w:pPr>
        <w:numPr>
          <w:ilvl w:val="0"/>
          <w:numId w:val="35"/>
        </w:numPr>
        <w:tabs>
          <w:tab w:val="left" w:pos="709"/>
        </w:tabs>
        <w:spacing w:line="240" w:lineRule="auto"/>
        <w:ind w:left="709" w:right="15" w:hanging="425"/>
        <w:rPr>
          <w:rFonts w:asciiTheme="minorHAnsi" w:hAnsiTheme="minorHAnsi" w:cstheme="minorHAnsi"/>
          <w:sz w:val="22"/>
        </w:rPr>
      </w:pPr>
      <w:r w:rsidRPr="001F0ED9">
        <w:rPr>
          <w:rFonts w:asciiTheme="minorHAnsi" w:hAnsiTheme="minorHAnsi" w:cstheme="minorHAnsi"/>
          <w:sz w:val="22"/>
        </w:rPr>
        <w:t xml:space="preserve">Interprofessional Practice and Education </w:t>
      </w:r>
    </w:p>
    <w:p w14:paraId="06FF393E" w14:textId="77777777" w:rsidR="006E5D8F" w:rsidRPr="001F0ED9" w:rsidRDefault="00D30958" w:rsidP="001E2685">
      <w:pPr>
        <w:numPr>
          <w:ilvl w:val="0"/>
          <w:numId w:val="35"/>
        </w:numPr>
        <w:tabs>
          <w:tab w:val="left" w:pos="709"/>
        </w:tabs>
        <w:spacing w:line="240" w:lineRule="auto"/>
        <w:ind w:left="709" w:right="15" w:hanging="425"/>
        <w:rPr>
          <w:rFonts w:asciiTheme="minorHAnsi" w:hAnsiTheme="minorHAnsi" w:cstheme="minorHAnsi"/>
          <w:sz w:val="22"/>
        </w:rPr>
      </w:pPr>
      <w:r w:rsidRPr="001F0ED9">
        <w:rPr>
          <w:rFonts w:asciiTheme="minorHAnsi" w:hAnsiTheme="minorHAnsi" w:cstheme="minorHAnsi"/>
          <w:sz w:val="22"/>
        </w:rPr>
        <w:t xml:space="preserve">Student Learning </w:t>
      </w:r>
    </w:p>
    <w:p w14:paraId="0843C642" w14:textId="77777777" w:rsidR="006E5D8F" w:rsidRPr="001F0ED9" w:rsidRDefault="00D30958" w:rsidP="001E2685">
      <w:pPr>
        <w:numPr>
          <w:ilvl w:val="0"/>
          <w:numId w:val="35"/>
        </w:numPr>
        <w:tabs>
          <w:tab w:val="left" w:pos="709"/>
        </w:tabs>
        <w:spacing w:after="268" w:line="240" w:lineRule="auto"/>
        <w:ind w:left="709" w:right="15" w:hanging="425"/>
        <w:rPr>
          <w:rFonts w:asciiTheme="minorHAnsi" w:hAnsiTheme="minorHAnsi" w:cstheme="minorHAnsi"/>
          <w:sz w:val="22"/>
        </w:rPr>
      </w:pPr>
      <w:r w:rsidRPr="001F0ED9">
        <w:rPr>
          <w:rFonts w:asciiTheme="minorHAnsi" w:hAnsiTheme="minorHAnsi" w:cstheme="minorHAnsi"/>
          <w:sz w:val="22"/>
        </w:rPr>
        <w:t xml:space="preserve">Curriculum Development and Assessment </w:t>
      </w:r>
    </w:p>
    <w:p w14:paraId="2B199770" w14:textId="66417817" w:rsidR="006E5D8F" w:rsidRDefault="00D30958" w:rsidP="001E2685">
      <w:pPr>
        <w:spacing w:after="0" w:line="240" w:lineRule="auto"/>
        <w:ind w:left="-5" w:right="15"/>
        <w:jc w:val="left"/>
        <w:rPr>
          <w:rStyle w:val="Hyperlink"/>
          <w:rFonts w:asciiTheme="minorHAnsi" w:hAnsiTheme="minorHAnsi" w:cstheme="minorHAnsi"/>
          <w:sz w:val="22"/>
        </w:rPr>
      </w:pPr>
      <w:r w:rsidRPr="001F0ED9">
        <w:rPr>
          <w:rFonts w:asciiTheme="minorHAnsi" w:hAnsiTheme="minorHAnsi" w:cstheme="minorHAnsi"/>
          <w:sz w:val="22"/>
        </w:rPr>
        <w:t xml:space="preserve">Further information regarding graduate programs at the School of Pharmacy can be found at the following link: </w:t>
      </w:r>
      <w:hyperlink r:id="rId9" w:history="1">
        <w:r w:rsidR="00C40D5A" w:rsidRPr="00C40D5A">
          <w:rPr>
            <w:rStyle w:val="Hyperlink"/>
            <w:rFonts w:asciiTheme="minorHAnsi" w:hAnsiTheme="minorHAnsi" w:cstheme="minorHAnsi"/>
            <w:sz w:val="22"/>
          </w:rPr>
          <w:t>https://www.mun.ca/become/graduate/programs/pharmacy.php</w:t>
        </w:r>
      </w:hyperlink>
    </w:p>
    <w:p w14:paraId="78A908FB" w14:textId="77777777" w:rsidR="001E2685" w:rsidRPr="001F0ED9" w:rsidRDefault="001E2685" w:rsidP="001E2685">
      <w:pPr>
        <w:spacing w:after="0" w:line="240" w:lineRule="auto"/>
        <w:ind w:left="-5" w:right="15"/>
        <w:jc w:val="left"/>
        <w:rPr>
          <w:rFonts w:asciiTheme="minorHAnsi" w:hAnsiTheme="minorHAnsi" w:cstheme="minorHAnsi"/>
          <w:sz w:val="22"/>
        </w:rPr>
      </w:pPr>
    </w:p>
    <w:p w14:paraId="187C2075" w14:textId="1840172E" w:rsidR="008305ED" w:rsidRPr="00AC306C" w:rsidRDefault="00D30958" w:rsidP="001E2685">
      <w:pPr>
        <w:spacing w:after="0" w:line="240" w:lineRule="auto"/>
        <w:ind w:left="-5" w:right="15"/>
        <w:jc w:val="left"/>
        <w:rPr>
          <w:rFonts w:asciiTheme="minorHAnsi" w:hAnsiTheme="minorHAnsi" w:cstheme="minorHAnsi"/>
          <w:szCs w:val="24"/>
        </w:rPr>
      </w:pPr>
      <w:r w:rsidRPr="00AC306C">
        <w:rPr>
          <w:rFonts w:asciiTheme="minorHAnsi" w:hAnsiTheme="minorHAnsi" w:cstheme="minorHAnsi"/>
          <w:b/>
          <w:szCs w:val="24"/>
        </w:rPr>
        <w:t>Contact information</w:t>
      </w:r>
      <w:r w:rsidR="0095430D">
        <w:rPr>
          <w:rFonts w:asciiTheme="minorHAnsi" w:hAnsiTheme="minorHAnsi" w:cstheme="minorHAnsi"/>
          <w:b/>
          <w:szCs w:val="24"/>
        </w:rPr>
        <w:t>:</w:t>
      </w:r>
      <w:r w:rsidRPr="00AC306C">
        <w:rPr>
          <w:rFonts w:asciiTheme="minorHAnsi" w:hAnsiTheme="minorHAnsi" w:cstheme="minorHAnsi"/>
          <w:szCs w:val="24"/>
        </w:rPr>
        <w:t xml:space="preserve"> </w:t>
      </w:r>
    </w:p>
    <w:p w14:paraId="3BF43EB6" w14:textId="1EEA2AE4" w:rsidR="006E5D8F" w:rsidRPr="008305ED" w:rsidRDefault="00D30958" w:rsidP="008305ED">
      <w:pPr>
        <w:spacing w:after="0" w:line="240" w:lineRule="auto"/>
        <w:ind w:left="-5" w:right="15"/>
        <w:jc w:val="left"/>
        <w:rPr>
          <w:rFonts w:asciiTheme="minorHAnsi" w:hAnsiTheme="minorHAnsi" w:cstheme="minorHAnsi"/>
          <w:sz w:val="22"/>
        </w:rPr>
      </w:pPr>
      <w:r w:rsidRPr="001F0ED9">
        <w:rPr>
          <w:rFonts w:asciiTheme="minorHAnsi" w:hAnsiTheme="minorHAnsi" w:cstheme="minorHAnsi"/>
          <w:sz w:val="22"/>
        </w:rPr>
        <w:t>Associate Dean of Grad</w:t>
      </w:r>
      <w:r w:rsidRPr="0033580A">
        <w:rPr>
          <w:rFonts w:asciiTheme="minorHAnsi" w:hAnsiTheme="minorHAnsi" w:cstheme="minorHAnsi"/>
          <w:color w:val="auto"/>
          <w:sz w:val="22"/>
        </w:rPr>
        <w:t xml:space="preserve">uate Studies and Research </w:t>
      </w:r>
    </w:p>
    <w:p w14:paraId="2416A788" w14:textId="77777777" w:rsidR="006E5D8F" w:rsidRPr="0033580A" w:rsidRDefault="00D30958" w:rsidP="008305ED">
      <w:pPr>
        <w:spacing w:after="0" w:line="240" w:lineRule="auto"/>
        <w:ind w:left="-5" w:right="15"/>
        <w:jc w:val="left"/>
        <w:rPr>
          <w:rFonts w:asciiTheme="minorHAnsi" w:hAnsiTheme="minorHAnsi" w:cstheme="minorHAnsi"/>
          <w:color w:val="auto"/>
          <w:sz w:val="22"/>
        </w:rPr>
      </w:pPr>
      <w:r w:rsidRPr="0033580A">
        <w:rPr>
          <w:rFonts w:asciiTheme="minorHAnsi" w:hAnsiTheme="minorHAnsi" w:cstheme="minorHAnsi"/>
          <w:color w:val="auto"/>
          <w:sz w:val="22"/>
        </w:rPr>
        <w:t xml:space="preserve">School of Pharmacy </w:t>
      </w:r>
    </w:p>
    <w:p w14:paraId="1425D6F7" w14:textId="77777777" w:rsidR="006E5D8F" w:rsidRPr="001F0ED9" w:rsidRDefault="00D30958" w:rsidP="008305ED">
      <w:pPr>
        <w:spacing w:after="0" w:line="240" w:lineRule="auto"/>
        <w:ind w:left="-5" w:right="15"/>
        <w:rPr>
          <w:rFonts w:asciiTheme="minorHAnsi" w:hAnsiTheme="minorHAnsi" w:cstheme="minorHAnsi"/>
          <w:sz w:val="22"/>
        </w:rPr>
      </w:pPr>
      <w:r w:rsidRPr="001F0ED9">
        <w:rPr>
          <w:rFonts w:asciiTheme="minorHAnsi" w:hAnsiTheme="minorHAnsi" w:cstheme="minorHAnsi"/>
          <w:sz w:val="22"/>
        </w:rPr>
        <w:t xml:space="preserve">Memorial University of Newfoundland </w:t>
      </w:r>
    </w:p>
    <w:p w14:paraId="0AB46AF2" w14:textId="77777777" w:rsidR="006E5D8F" w:rsidRPr="001F0ED9" w:rsidRDefault="00D30958" w:rsidP="008305ED">
      <w:pPr>
        <w:spacing w:after="0" w:line="240" w:lineRule="auto"/>
        <w:ind w:left="-5" w:right="15"/>
        <w:rPr>
          <w:rFonts w:asciiTheme="minorHAnsi" w:hAnsiTheme="minorHAnsi" w:cstheme="minorHAnsi"/>
          <w:sz w:val="22"/>
        </w:rPr>
      </w:pPr>
      <w:r w:rsidRPr="001F0ED9">
        <w:rPr>
          <w:rFonts w:asciiTheme="minorHAnsi" w:hAnsiTheme="minorHAnsi" w:cstheme="minorHAnsi"/>
          <w:sz w:val="22"/>
        </w:rPr>
        <w:t xml:space="preserve">St. John's, NL, Canada A1B 3V6 </w:t>
      </w:r>
    </w:p>
    <w:p w14:paraId="4EFE34B1" w14:textId="31FCEA2C" w:rsidR="00C40D5A" w:rsidRDefault="00E741FD" w:rsidP="008305ED">
      <w:pPr>
        <w:spacing w:after="0" w:line="240" w:lineRule="auto"/>
        <w:ind w:left="-5" w:right="15"/>
        <w:rPr>
          <w:rFonts w:asciiTheme="minorHAnsi" w:hAnsiTheme="minorHAnsi" w:cstheme="minorHAnsi"/>
          <w:sz w:val="22"/>
        </w:rPr>
      </w:pPr>
      <w:r>
        <w:rPr>
          <w:rFonts w:asciiTheme="minorHAnsi" w:hAnsiTheme="minorHAnsi" w:cstheme="minorHAnsi"/>
          <w:sz w:val="22"/>
        </w:rPr>
        <w:t>Tel</w:t>
      </w:r>
      <w:r w:rsidR="00D30958" w:rsidRPr="001F0ED9">
        <w:rPr>
          <w:rFonts w:asciiTheme="minorHAnsi" w:hAnsiTheme="minorHAnsi" w:cstheme="minorHAnsi"/>
          <w:sz w:val="22"/>
        </w:rPr>
        <w:t xml:space="preserve">: (709) </w:t>
      </w:r>
      <w:r w:rsidR="001F0ED9" w:rsidRPr="001F0ED9">
        <w:rPr>
          <w:rFonts w:asciiTheme="minorHAnsi" w:hAnsiTheme="minorHAnsi" w:cstheme="minorHAnsi"/>
          <w:sz w:val="22"/>
        </w:rPr>
        <w:t>864</w:t>
      </w:r>
      <w:r w:rsidR="00D30958" w:rsidRPr="001F0ED9">
        <w:rPr>
          <w:rFonts w:asciiTheme="minorHAnsi" w:hAnsiTheme="minorHAnsi" w:cstheme="minorHAnsi"/>
          <w:sz w:val="22"/>
        </w:rPr>
        <w:t>-</w:t>
      </w:r>
      <w:r w:rsidR="001F0ED9" w:rsidRPr="001F0ED9">
        <w:rPr>
          <w:rFonts w:asciiTheme="minorHAnsi" w:hAnsiTheme="minorHAnsi" w:cstheme="minorHAnsi"/>
          <w:sz w:val="22"/>
        </w:rPr>
        <w:t>2315</w:t>
      </w:r>
    </w:p>
    <w:p w14:paraId="467775A5" w14:textId="60910FDB" w:rsidR="006E5D8F" w:rsidRPr="001F0ED9" w:rsidRDefault="00D30958" w:rsidP="008305ED">
      <w:pPr>
        <w:spacing w:after="0" w:line="240" w:lineRule="auto"/>
        <w:ind w:left="-5" w:right="15"/>
        <w:rPr>
          <w:rFonts w:asciiTheme="minorHAnsi" w:hAnsiTheme="minorHAnsi" w:cstheme="minorHAnsi"/>
          <w:sz w:val="22"/>
        </w:rPr>
      </w:pPr>
      <w:r w:rsidRPr="001F0ED9">
        <w:rPr>
          <w:rFonts w:asciiTheme="minorHAnsi" w:hAnsiTheme="minorHAnsi" w:cstheme="minorHAnsi"/>
          <w:sz w:val="22"/>
        </w:rPr>
        <w:t xml:space="preserve">Fax: (709) </w:t>
      </w:r>
      <w:r w:rsidR="001F0ED9" w:rsidRPr="001F0ED9">
        <w:rPr>
          <w:rFonts w:asciiTheme="minorHAnsi" w:hAnsiTheme="minorHAnsi" w:cstheme="minorHAnsi"/>
          <w:sz w:val="22"/>
        </w:rPr>
        <w:t>864-6941</w:t>
      </w:r>
      <w:r w:rsidRPr="001F0ED9">
        <w:rPr>
          <w:rFonts w:asciiTheme="minorHAnsi" w:hAnsiTheme="minorHAnsi" w:cstheme="minorHAnsi"/>
          <w:sz w:val="22"/>
        </w:rPr>
        <w:t xml:space="preserve"> </w:t>
      </w:r>
    </w:p>
    <w:p w14:paraId="6FE90977" w14:textId="4EB06A28" w:rsidR="006E5D8F" w:rsidRDefault="00000000" w:rsidP="008305ED">
      <w:pPr>
        <w:spacing w:after="0" w:line="240" w:lineRule="auto"/>
        <w:ind w:left="-5" w:right="15"/>
        <w:jc w:val="left"/>
        <w:rPr>
          <w:rFonts w:asciiTheme="minorHAnsi" w:hAnsiTheme="minorHAnsi" w:cstheme="minorHAnsi"/>
          <w:sz w:val="22"/>
        </w:rPr>
      </w:pPr>
      <w:hyperlink r:id="rId10" w:history="1">
        <w:r w:rsidR="00C40D5A" w:rsidRPr="00267AC3">
          <w:rPr>
            <w:rStyle w:val="Hyperlink"/>
            <w:rFonts w:asciiTheme="minorHAnsi" w:hAnsiTheme="minorHAnsi" w:cstheme="minorHAnsi"/>
            <w:sz w:val="22"/>
            <w:u w:color="0000FF"/>
          </w:rPr>
          <w:t>pharminfo@mun.ca</w:t>
        </w:r>
      </w:hyperlink>
      <w:r w:rsidR="00D30958" w:rsidRPr="001F0ED9">
        <w:rPr>
          <w:rFonts w:asciiTheme="minorHAnsi" w:hAnsiTheme="minorHAnsi" w:cstheme="minorHAnsi"/>
          <w:sz w:val="22"/>
        </w:rPr>
        <w:t xml:space="preserve"> </w:t>
      </w:r>
    </w:p>
    <w:p w14:paraId="24A61F3E" w14:textId="77777777" w:rsidR="00C40D5A" w:rsidRDefault="00C40D5A" w:rsidP="008305ED">
      <w:pPr>
        <w:spacing w:line="240" w:lineRule="auto"/>
        <w:ind w:left="-5" w:right="15"/>
        <w:jc w:val="left"/>
        <w:rPr>
          <w:rFonts w:asciiTheme="minorHAnsi" w:hAnsiTheme="minorHAnsi" w:cstheme="minorHAnsi"/>
          <w:sz w:val="22"/>
        </w:rPr>
      </w:pPr>
    </w:p>
    <w:p w14:paraId="2512F266" w14:textId="77777777" w:rsidR="00C40D5A" w:rsidRPr="001F0ED9" w:rsidRDefault="00C40D5A" w:rsidP="008305ED">
      <w:pPr>
        <w:spacing w:line="240" w:lineRule="auto"/>
        <w:ind w:left="-5" w:right="15"/>
        <w:jc w:val="left"/>
        <w:rPr>
          <w:rFonts w:asciiTheme="minorHAnsi" w:hAnsiTheme="minorHAnsi" w:cstheme="minorHAnsi"/>
          <w:sz w:val="22"/>
        </w:rPr>
      </w:pPr>
    </w:p>
    <w:p w14:paraId="5A1D01DB" w14:textId="25444AB7" w:rsidR="006E5D8F" w:rsidRPr="00AA5A22" w:rsidRDefault="008305ED" w:rsidP="008305ED">
      <w:pPr>
        <w:pStyle w:val="Heading1"/>
        <w:spacing w:line="240" w:lineRule="auto"/>
        <w:ind w:left="0" w:right="15"/>
        <w:rPr>
          <w:rFonts w:asciiTheme="minorHAnsi" w:hAnsiTheme="minorHAnsi" w:cstheme="minorHAnsi"/>
          <w:bCs/>
          <w:sz w:val="32"/>
          <w:szCs w:val="32"/>
        </w:rPr>
      </w:pPr>
      <w:r w:rsidRPr="00AA5A22">
        <w:rPr>
          <w:rFonts w:asciiTheme="minorHAnsi" w:hAnsiTheme="minorHAnsi" w:cstheme="minorHAnsi"/>
          <w:bCs/>
          <w:sz w:val="32"/>
          <w:szCs w:val="32"/>
        </w:rPr>
        <w:br w:type="column"/>
      </w:r>
      <w:bookmarkStart w:id="2" w:name="_Toc111554530"/>
      <w:r w:rsidR="00D30958" w:rsidRPr="00AA5A22">
        <w:rPr>
          <w:rFonts w:asciiTheme="minorHAnsi" w:hAnsiTheme="minorHAnsi" w:cstheme="minorHAnsi"/>
          <w:bCs/>
          <w:sz w:val="32"/>
          <w:szCs w:val="32"/>
        </w:rPr>
        <w:lastRenderedPageBreak/>
        <w:t>Admission Requirements</w:t>
      </w:r>
      <w:bookmarkEnd w:id="2"/>
      <w:r w:rsidR="00D30958" w:rsidRPr="00AA5A22">
        <w:rPr>
          <w:rFonts w:asciiTheme="minorHAnsi" w:hAnsiTheme="minorHAnsi" w:cstheme="minorHAnsi"/>
          <w:bCs/>
          <w:sz w:val="32"/>
          <w:szCs w:val="32"/>
        </w:rPr>
        <w:t xml:space="preserve"> </w:t>
      </w:r>
    </w:p>
    <w:p w14:paraId="25DD107E"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2CCE74C3" w14:textId="1A5DAD43"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The School of Pharmacy offers MSc and PhD programs as full-time or part-time study.</w:t>
      </w:r>
      <w:r w:rsidR="00E61784">
        <w:rPr>
          <w:rFonts w:asciiTheme="minorHAnsi" w:hAnsiTheme="minorHAnsi" w:cstheme="minorHAnsi"/>
          <w:sz w:val="22"/>
        </w:rPr>
        <w:t xml:space="preserve"> </w:t>
      </w:r>
      <w:r w:rsidRPr="001F0ED9">
        <w:rPr>
          <w:rFonts w:asciiTheme="minorHAnsi" w:hAnsiTheme="minorHAnsi" w:cstheme="minorHAnsi"/>
          <w:sz w:val="22"/>
        </w:rPr>
        <w:t>Admission to all graduate programs in Pharmacy is competitive and is based on academic excellence and the availability of supervisors and financial resources.</w:t>
      </w:r>
      <w:r w:rsidR="00666FBD">
        <w:rPr>
          <w:rFonts w:asciiTheme="minorHAnsi" w:hAnsiTheme="minorHAnsi" w:cstheme="minorHAnsi"/>
          <w:sz w:val="22"/>
        </w:rPr>
        <w:t xml:space="preserve"> </w:t>
      </w:r>
      <w:r w:rsidRPr="001F0ED9">
        <w:rPr>
          <w:rFonts w:asciiTheme="minorHAnsi" w:hAnsiTheme="minorHAnsi" w:cstheme="minorHAnsi"/>
          <w:sz w:val="22"/>
        </w:rPr>
        <w:t>The minimum qualification for admission to MSc program is a four-year undergraduate degree with a minimum B</w:t>
      </w:r>
      <w:r w:rsidRPr="001F0ED9">
        <w:rPr>
          <w:rFonts w:asciiTheme="minorHAnsi" w:hAnsiTheme="minorHAnsi" w:cstheme="minorHAnsi"/>
          <w:sz w:val="22"/>
          <w:vertAlign w:val="superscript"/>
        </w:rPr>
        <w:t>+</w:t>
      </w:r>
      <w:r w:rsidRPr="001F0ED9">
        <w:rPr>
          <w:rFonts w:asciiTheme="minorHAnsi" w:hAnsiTheme="minorHAnsi" w:cstheme="minorHAnsi"/>
          <w:sz w:val="22"/>
        </w:rPr>
        <w:t xml:space="preserve"> cumulative average (or equivalent) in pharmacy or in a physical, chemical or biological science from a recognized university. </w:t>
      </w:r>
    </w:p>
    <w:p w14:paraId="07621F28"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A51EB7D" w14:textId="42AB771F"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Admission to the PhD program normally requires an MSc or equivalent in a relevant discipline from a recognized university.</w:t>
      </w:r>
      <w:r w:rsidR="00E61784">
        <w:rPr>
          <w:rFonts w:asciiTheme="minorHAnsi" w:hAnsiTheme="minorHAnsi" w:cstheme="minorHAnsi"/>
          <w:sz w:val="22"/>
        </w:rPr>
        <w:t xml:space="preserve"> </w:t>
      </w:r>
      <w:r w:rsidRPr="001F0ED9">
        <w:rPr>
          <w:rFonts w:asciiTheme="minorHAnsi" w:hAnsiTheme="minorHAnsi" w:cstheme="minorHAnsi"/>
          <w:sz w:val="22"/>
        </w:rPr>
        <w:t>Students registered in the MSc program may be recommended for transfer to the PhD program by the Supervisory Committee following the fifth semester of study.</w:t>
      </w:r>
      <w:r w:rsidR="00E61784">
        <w:rPr>
          <w:rFonts w:asciiTheme="minorHAnsi" w:hAnsiTheme="minorHAnsi" w:cstheme="minorHAnsi"/>
          <w:sz w:val="22"/>
        </w:rPr>
        <w:t xml:space="preserve"> </w:t>
      </w:r>
      <w:r w:rsidRPr="001F0ED9">
        <w:rPr>
          <w:rFonts w:asciiTheme="minorHAnsi" w:hAnsiTheme="minorHAnsi" w:cstheme="minorHAnsi"/>
          <w:sz w:val="22"/>
        </w:rPr>
        <w:t xml:space="preserve">The recommendation is based on academic standing and ability to pursue research at the doctoral level. </w:t>
      </w:r>
    </w:p>
    <w:p w14:paraId="193B0204" w14:textId="7D0C1909" w:rsidR="00E61784" w:rsidRDefault="00E61784" w:rsidP="008305ED">
      <w:pPr>
        <w:spacing w:after="0" w:line="240" w:lineRule="auto"/>
        <w:ind w:left="0" w:right="15" w:firstLine="0"/>
        <w:jc w:val="left"/>
        <w:rPr>
          <w:rFonts w:asciiTheme="minorHAnsi" w:hAnsiTheme="minorHAnsi" w:cstheme="minorHAnsi"/>
          <w:sz w:val="22"/>
        </w:rPr>
      </w:pPr>
    </w:p>
    <w:p w14:paraId="54296A33" w14:textId="2F8040E6" w:rsidR="00E61784" w:rsidRDefault="00E61784" w:rsidP="008305ED">
      <w:pPr>
        <w:spacing w:after="0" w:line="240" w:lineRule="auto"/>
        <w:ind w:left="0" w:right="15" w:firstLine="0"/>
        <w:jc w:val="left"/>
        <w:rPr>
          <w:rFonts w:asciiTheme="minorHAnsi" w:hAnsiTheme="minorHAnsi" w:cstheme="minorHAnsi"/>
          <w:sz w:val="22"/>
        </w:rPr>
      </w:pPr>
      <w:r w:rsidRPr="00E61784">
        <w:rPr>
          <w:rFonts w:asciiTheme="minorHAnsi" w:hAnsiTheme="minorHAnsi" w:cstheme="minorHAnsi"/>
          <w:sz w:val="22"/>
        </w:rPr>
        <w:t xml:space="preserve">Since the Fall semester of 2020, the School of Pharmacy has established a new concurrent program (a combined PharmD/MSc) for those Doctor of Pharmacy PharmD (EPPD) students who have finished </w:t>
      </w:r>
      <w:r w:rsidR="0013517F">
        <w:rPr>
          <w:rFonts w:asciiTheme="minorHAnsi" w:hAnsiTheme="minorHAnsi" w:cstheme="minorHAnsi"/>
          <w:sz w:val="22"/>
        </w:rPr>
        <w:t>four</w:t>
      </w:r>
      <w:r w:rsidRPr="00E61784">
        <w:rPr>
          <w:rFonts w:asciiTheme="minorHAnsi" w:hAnsiTheme="minorHAnsi" w:cstheme="minorHAnsi"/>
          <w:sz w:val="22"/>
        </w:rPr>
        <w:t xml:space="preserve">-year full-time (FT) university education but have not yet received a formal undergraduate degree.  Students will be permitted to register in the part-time (PT) MSc (Pharm) program in years </w:t>
      </w:r>
      <w:r w:rsidR="0013517F">
        <w:rPr>
          <w:rFonts w:asciiTheme="minorHAnsi" w:hAnsiTheme="minorHAnsi" w:cstheme="minorHAnsi"/>
          <w:sz w:val="22"/>
        </w:rPr>
        <w:t>four</w:t>
      </w:r>
      <w:r w:rsidRPr="00E61784">
        <w:rPr>
          <w:rFonts w:asciiTheme="minorHAnsi" w:hAnsiTheme="minorHAnsi" w:cstheme="minorHAnsi"/>
          <w:sz w:val="22"/>
        </w:rPr>
        <w:t xml:space="preserve"> and </w:t>
      </w:r>
      <w:r w:rsidR="0013517F">
        <w:rPr>
          <w:rFonts w:asciiTheme="minorHAnsi" w:hAnsiTheme="minorHAnsi" w:cstheme="minorHAnsi"/>
          <w:sz w:val="22"/>
        </w:rPr>
        <w:t>five</w:t>
      </w:r>
      <w:r w:rsidRPr="00E61784">
        <w:rPr>
          <w:rFonts w:asciiTheme="minorHAnsi" w:hAnsiTheme="minorHAnsi" w:cstheme="minorHAnsi"/>
          <w:sz w:val="22"/>
        </w:rPr>
        <w:t xml:space="preserve"> of the EPPD program.     </w:t>
      </w:r>
    </w:p>
    <w:p w14:paraId="13C40FD3" w14:textId="1DF39804" w:rsidR="006E5D8F" w:rsidRPr="001F0ED9" w:rsidRDefault="006E5D8F" w:rsidP="008305ED">
      <w:pPr>
        <w:spacing w:after="0" w:line="240" w:lineRule="auto"/>
        <w:ind w:left="0" w:right="15" w:firstLine="0"/>
        <w:jc w:val="left"/>
        <w:rPr>
          <w:rFonts w:asciiTheme="minorHAnsi" w:hAnsiTheme="minorHAnsi" w:cstheme="minorHAnsi"/>
          <w:sz w:val="22"/>
        </w:rPr>
      </w:pPr>
    </w:p>
    <w:p w14:paraId="639FDD54" w14:textId="1819601B"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All applicants </w:t>
      </w:r>
      <w:r w:rsidR="00E61784">
        <w:rPr>
          <w:rFonts w:asciiTheme="minorHAnsi" w:hAnsiTheme="minorHAnsi" w:cstheme="minorHAnsi"/>
          <w:sz w:val="22"/>
        </w:rPr>
        <w:t>must demonstrate proficiency in written and spoken English, as described in</w:t>
      </w:r>
      <w:r w:rsidRPr="001F0ED9">
        <w:rPr>
          <w:rFonts w:asciiTheme="minorHAnsi" w:hAnsiTheme="minorHAnsi" w:cstheme="minorHAnsi"/>
          <w:sz w:val="22"/>
        </w:rPr>
        <w:t xml:space="preserve"> the School of Graduate Studies, Memorial University (</w:t>
      </w:r>
      <w:r w:rsidRPr="001F0ED9">
        <w:rPr>
          <w:rFonts w:asciiTheme="minorHAnsi" w:hAnsiTheme="minorHAnsi" w:cstheme="minorHAnsi"/>
          <w:color w:val="0000FF"/>
          <w:sz w:val="22"/>
          <w:u w:val="single" w:color="0000FF"/>
        </w:rPr>
        <w:t>http://www.mun.ca/sgs</w:t>
      </w:r>
      <w:r w:rsidRPr="001F0ED9">
        <w:rPr>
          <w:rFonts w:asciiTheme="minorHAnsi" w:hAnsiTheme="minorHAnsi" w:cstheme="minorHAnsi"/>
          <w:sz w:val="22"/>
        </w:rPr>
        <w:t xml:space="preserve">). </w:t>
      </w:r>
    </w:p>
    <w:p w14:paraId="06FACAE4"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E464B77" w14:textId="4367D61B"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Online application forms and further information are available </w:t>
      </w:r>
      <w:r w:rsidR="00C40D5A">
        <w:rPr>
          <w:rFonts w:asciiTheme="minorHAnsi" w:hAnsiTheme="minorHAnsi" w:cstheme="minorHAnsi"/>
          <w:sz w:val="22"/>
        </w:rPr>
        <w:t>on</w:t>
      </w:r>
      <w:r w:rsidR="00C40D5A" w:rsidRPr="001F0ED9">
        <w:rPr>
          <w:rFonts w:asciiTheme="minorHAnsi" w:hAnsiTheme="minorHAnsi" w:cstheme="minorHAnsi"/>
          <w:sz w:val="22"/>
        </w:rPr>
        <w:t xml:space="preserve"> </w:t>
      </w:r>
      <w:r w:rsidRPr="001F0ED9">
        <w:rPr>
          <w:rFonts w:asciiTheme="minorHAnsi" w:hAnsiTheme="minorHAnsi" w:cstheme="minorHAnsi"/>
          <w:sz w:val="22"/>
        </w:rPr>
        <w:t xml:space="preserve">the </w:t>
      </w:r>
      <w:r w:rsidR="00E61784">
        <w:rPr>
          <w:rFonts w:asciiTheme="minorHAnsi" w:hAnsiTheme="minorHAnsi" w:cstheme="minorHAnsi"/>
          <w:sz w:val="22"/>
        </w:rPr>
        <w:t>School of Graduate Studies website</w:t>
      </w:r>
      <w:r w:rsidRPr="001F0ED9">
        <w:rPr>
          <w:rFonts w:asciiTheme="minorHAnsi" w:hAnsiTheme="minorHAnsi" w:cstheme="minorHAnsi"/>
          <w:sz w:val="22"/>
        </w:rPr>
        <w:t xml:space="preserve">. </w:t>
      </w:r>
    </w:p>
    <w:p w14:paraId="49CA0EBD"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67A441D3" w14:textId="66EAEF0D"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Applicants are encouraged to contact the School of Pharmacy (</w:t>
      </w:r>
      <w:proofErr w:type="gramStart"/>
      <w:r w:rsidR="00CB59EE">
        <w:rPr>
          <w:rFonts w:asciiTheme="minorHAnsi" w:hAnsiTheme="minorHAnsi" w:cstheme="minorHAnsi"/>
          <w:color w:val="0000FF"/>
          <w:sz w:val="22"/>
          <w:u w:val="single" w:color="0000FF"/>
        </w:rPr>
        <w:t>admission</w:t>
      </w:r>
      <w:r w:rsidRPr="001F0ED9">
        <w:rPr>
          <w:rFonts w:asciiTheme="minorHAnsi" w:hAnsiTheme="minorHAnsi" w:cstheme="minorHAnsi"/>
          <w:color w:val="0000FF"/>
          <w:sz w:val="22"/>
          <w:u w:val="single" w:color="0000FF"/>
        </w:rPr>
        <w:t>@mun.ca</w:t>
      </w:r>
      <w:r w:rsidRPr="001F0ED9">
        <w:rPr>
          <w:rFonts w:asciiTheme="minorHAnsi" w:hAnsiTheme="minorHAnsi" w:cstheme="minorHAnsi"/>
          <w:sz w:val="22"/>
        </w:rPr>
        <w:t>)  before</w:t>
      </w:r>
      <w:proofErr w:type="gramEnd"/>
      <w:r w:rsidRPr="001F0ED9">
        <w:rPr>
          <w:rFonts w:asciiTheme="minorHAnsi" w:hAnsiTheme="minorHAnsi" w:cstheme="minorHAnsi"/>
          <w:sz w:val="22"/>
        </w:rPr>
        <w:t xml:space="preserve"> contacting the School of Graduate Studies and completing the </w:t>
      </w:r>
      <w:hyperlink r:id="rId11" w:history="1">
        <w:r w:rsidR="00180A1C" w:rsidRPr="0055448E">
          <w:rPr>
            <w:rStyle w:val="Hyperlink"/>
            <w:rFonts w:asciiTheme="minorHAnsi" w:hAnsiTheme="minorHAnsi" w:cstheme="minorHAnsi"/>
            <w:sz w:val="22"/>
          </w:rPr>
          <w:t>online</w:t>
        </w:r>
        <w:r w:rsidRPr="0055448E">
          <w:rPr>
            <w:rStyle w:val="Hyperlink"/>
            <w:rFonts w:asciiTheme="minorHAnsi" w:hAnsiTheme="minorHAnsi" w:cstheme="minorHAnsi"/>
            <w:sz w:val="22"/>
          </w:rPr>
          <w:t xml:space="preserve"> application</w:t>
        </w:r>
      </w:hyperlink>
      <w:r w:rsidRPr="001F0ED9">
        <w:rPr>
          <w:rFonts w:asciiTheme="minorHAnsi" w:hAnsiTheme="minorHAnsi" w:cstheme="minorHAnsi"/>
          <w:sz w:val="22"/>
        </w:rPr>
        <w:t xml:space="preserve">  </w:t>
      </w:r>
    </w:p>
    <w:p w14:paraId="237E1B56"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7EB8A5C" w14:textId="73B5D88F"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The application deadline is February 28th for September admission (Fall Semester) and July 31 for January admission (</w:t>
      </w:r>
      <w:r w:rsidR="003A0871">
        <w:rPr>
          <w:rFonts w:asciiTheme="minorHAnsi" w:hAnsiTheme="minorHAnsi" w:cstheme="minorHAnsi"/>
          <w:sz w:val="22"/>
        </w:rPr>
        <w:t>w</w:t>
      </w:r>
      <w:r w:rsidRPr="001F0ED9">
        <w:rPr>
          <w:rFonts w:asciiTheme="minorHAnsi" w:hAnsiTheme="minorHAnsi" w:cstheme="minorHAnsi"/>
          <w:sz w:val="22"/>
        </w:rPr>
        <w:t xml:space="preserve">inter </w:t>
      </w:r>
      <w:r w:rsidR="003A0871">
        <w:rPr>
          <w:rFonts w:asciiTheme="minorHAnsi" w:hAnsiTheme="minorHAnsi" w:cstheme="minorHAnsi"/>
          <w:sz w:val="22"/>
        </w:rPr>
        <w:t>s</w:t>
      </w:r>
      <w:r w:rsidRPr="001F0ED9">
        <w:rPr>
          <w:rFonts w:asciiTheme="minorHAnsi" w:hAnsiTheme="minorHAnsi" w:cstheme="minorHAnsi"/>
          <w:sz w:val="22"/>
        </w:rPr>
        <w:t xml:space="preserve">emester). </w:t>
      </w:r>
    </w:p>
    <w:p w14:paraId="6227B646"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288886E1" w14:textId="77777777"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For further information on admission requirements refer to the following websites: </w:t>
      </w:r>
    </w:p>
    <w:p w14:paraId="18AB2B59"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27620D9A" w14:textId="5111E081" w:rsidR="006E5D8F" w:rsidRPr="001F0ED9" w:rsidRDefault="00D30958" w:rsidP="008305ED">
      <w:pPr>
        <w:spacing w:after="0" w:line="240" w:lineRule="auto"/>
        <w:ind w:left="-5" w:right="15"/>
        <w:jc w:val="left"/>
        <w:rPr>
          <w:rFonts w:asciiTheme="minorHAnsi" w:hAnsiTheme="minorHAnsi" w:cstheme="minorHAnsi"/>
          <w:sz w:val="22"/>
        </w:rPr>
      </w:pPr>
      <w:r w:rsidRPr="001F0ED9">
        <w:rPr>
          <w:rFonts w:asciiTheme="minorHAnsi" w:hAnsiTheme="minorHAnsi" w:cstheme="minorHAnsi"/>
          <w:color w:val="0000FF"/>
          <w:sz w:val="22"/>
          <w:u w:val="single" w:color="0000FF"/>
        </w:rPr>
        <w:t>http://www.mun.ca/regoff/calendar/sectionNo=GRAD-4515</w:t>
      </w:r>
      <w:r w:rsidRPr="001F0ED9">
        <w:rPr>
          <w:rFonts w:asciiTheme="minorHAnsi" w:hAnsiTheme="minorHAnsi" w:cstheme="minorHAnsi"/>
          <w:color w:val="0000FF"/>
          <w:sz w:val="22"/>
        </w:rPr>
        <w:t xml:space="preserve">  </w:t>
      </w:r>
    </w:p>
    <w:p w14:paraId="77B082D1" w14:textId="77777777" w:rsidR="006E5D8F" w:rsidRPr="001F0ED9" w:rsidRDefault="00D30958" w:rsidP="008305ED">
      <w:pPr>
        <w:spacing w:after="0" w:line="240" w:lineRule="auto"/>
        <w:ind w:left="-5" w:right="15"/>
        <w:jc w:val="left"/>
        <w:rPr>
          <w:rFonts w:asciiTheme="minorHAnsi" w:hAnsiTheme="minorHAnsi" w:cstheme="minorHAnsi"/>
          <w:sz w:val="22"/>
        </w:rPr>
      </w:pPr>
      <w:r w:rsidRPr="001F0ED9">
        <w:rPr>
          <w:rFonts w:asciiTheme="minorHAnsi" w:hAnsiTheme="minorHAnsi" w:cstheme="minorHAnsi"/>
          <w:color w:val="0000FF"/>
          <w:sz w:val="22"/>
          <w:u w:val="single" w:color="0000FF"/>
        </w:rPr>
        <w:t>http://www.mun.ca/regoff/calendar/sectionNo=GRAD-0015#GRAD-0016</w:t>
      </w:r>
      <w:r w:rsidRPr="001F0ED9">
        <w:rPr>
          <w:rFonts w:asciiTheme="minorHAnsi" w:hAnsiTheme="minorHAnsi" w:cstheme="minorHAnsi"/>
          <w:color w:val="0000FF"/>
          <w:sz w:val="22"/>
        </w:rPr>
        <w:t xml:space="preserve"> </w:t>
      </w:r>
      <w:r w:rsidRPr="001F0ED9">
        <w:rPr>
          <w:rFonts w:asciiTheme="minorHAnsi" w:hAnsiTheme="minorHAnsi" w:cstheme="minorHAnsi"/>
          <w:b/>
          <w:sz w:val="22"/>
        </w:rPr>
        <w:t xml:space="preserve"> </w:t>
      </w:r>
    </w:p>
    <w:p w14:paraId="49977CC4" w14:textId="2241E8ED" w:rsidR="006E5D8F" w:rsidRDefault="00D30958" w:rsidP="008305ED">
      <w:pPr>
        <w:spacing w:after="0" w:line="240" w:lineRule="auto"/>
        <w:ind w:left="0" w:right="15" w:firstLine="0"/>
        <w:jc w:val="left"/>
        <w:rPr>
          <w:rFonts w:asciiTheme="minorHAnsi" w:hAnsiTheme="minorHAnsi" w:cstheme="minorHAnsi"/>
          <w:b/>
          <w:sz w:val="22"/>
        </w:rPr>
      </w:pPr>
      <w:r w:rsidRPr="001F0ED9">
        <w:rPr>
          <w:rFonts w:asciiTheme="minorHAnsi" w:hAnsiTheme="minorHAnsi" w:cstheme="minorHAnsi"/>
          <w:b/>
          <w:sz w:val="22"/>
        </w:rPr>
        <w:t xml:space="preserve"> </w:t>
      </w:r>
    </w:p>
    <w:p w14:paraId="5591930E" w14:textId="77777777" w:rsidR="003A0871" w:rsidRPr="001F0ED9" w:rsidRDefault="003A0871" w:rsidP="008305ED">
      <w:pPr>
        <w:spacing w:after="0" w:line="240" w:lineRule="auto"/>
        <w:ind w:left="0" w:right="15" w:firstLine="0"/>
        <w:jc w:val="left"/>
        <w:rPr>
          <w:rFonts w:asciiTheme="minorHAnsi" w:hAnsiTheme="minorHAnsi" w:cstheme="minorHAnsi"/>
          <w:sz w:val="22"/>
        </w:rPr>
      </w:pPr>
    </w:p>
    <w:p w14:paraId="539A5A52" w14:textId="2EE944A5" w:rsidR="006E5D8F" w:rsidRPr="00AA5A22" w:rsidRDefault="00C40D5A" w:rsidP="008305ED">
      <w:pPr>
        <w:pStyle w:val="Heading1"/>
        <w:spacing w:line="240" w:lineRule="auto"/>
        <w:ind w:left="0" w:right="15"/>
        <w:rPr>
          <w:rFonts w:asciiTheme="minorHAnsi" w:hAnsiTheme="minorHAnsi" w:cstheme="minorHAnsi"/>
          <w:bCs/>
          <w:sz w:val="32"/>
          <w:szCs w:val="32"/>
        </w:rPr>
      </w:pPr>
      <w:bookmarkStart w:id="3" w:name="_Toc111554531"/>
      <w:r w:rsidRPr="00AA5A22">
        <w:rPr>
          <w:rFonts w:asciiTheme="minorHAnsi" w:hAnsiTheme="minorHAnsi" w:cstheme="minorHAnsi"/>
          <w:bCs/>
          <w:sz w:val="32"/>
          <w:szCs w:val="32"/>
        </w:rPr>
        <w:t xml:space="preserve">General </w:t>
      </w:r>
      <w:r w:rsidR="00D30958" w:rsidRPr="00AA5A22">
        <w:rPr>
          <w:rFonts w:asciiTheme="minorHAnsi" w:hAnsiTheme="minorHAnsi" w:cstheme="minorHAnsi"/>
          <w:bCs/>
          <w:sz w:val="32"/>
          <w:szCs w:val="32"/>
        </w:rPr>
        <w:t>Degree Requirements</w:t>
      </w:r>
      <w:bookmarkEnd w:id="3"/>
      <w:r w:rsidR="00D30958" w:rsidRPr="00AA5A22">
        <w:rPr>
          <w:rFonts w:asciiTheme="minorHAnsi" w:hAnsiTheme="minorHAnsi" w:cstheme="minorHAnsi"/>
          <w:bCs/>
          <w:sz w:val="32"/>
          <w:szCs w:val="32"/>
        </w:rPr>
        <w:t xml:space="preserve"> </w:t>
      </w:r>
    </w:p>
    <w:p w14:paraId="6387E3F0"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6F405A75" w14:textId="7CB8CDD2"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Candidates for MSc Pharm</w:t>
      </w:r>
      <w:r w:rsidR="00E61784">
        <w:rPr>
          <w:rFonts w:asciiTheme="minorHAnsi" w:hAnsiTheme="minorHAnsi" w:cstheme="minorHAnsi"/>
          <w:sz w:val="22"/>
        </w:rPr>
        <w:t xml:space="preserve"> </w:t>
      </w:r>
      <w:r w:rsidRPr="001F0ED9">
        <w:rPr>
          <w:rFonts w:asciiTheme="minorHAnsi" w:hAnsiTheme="minorHAnsi" w:cstheme="minorHAnsi"/>
          <w:sz w:val="22"/>
        </w:rPr>
        <w:t xml:space="preserve">and PhD degrees are required to complete a minimum of two graduate courses (equivalent to six credit hours) in pharmacy, medicine, biochemistry, chemistry, or other relevant programs. </w:t>
      </w:r>
    </w:p>
    <w:p w14:paraId="12DB2667"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7C5D0678" w14:textId="4CC35A73"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Depending on </w:t>
      </w:r>
      <w:r w:rsidR="00C40D5A">
        <w:rPr>
          <w:rFonts w:asciiTheme="minorHAnsi" w:hAnsiTheme="minorHAnsi" w:cstheme="minorHAnsi"/>
          <w:sz w:val="22"/>
        </w:rPr>
        <w:t xml:space="preserve">the student’s </w:t>
      </w:r>
      <w:r w:rsidRPr="001F0ED9">
        <w:rPr>
          <w:rFonts w:asciiTheme="minorHAnsi" w:hAnsiTheme="minorHAnsi" w:cstheme="minorHAnsi"/>
          <w:sz w:val="22"/>
        </w:rPr>
        <w:t xml:space="preserve">background and area of interest, </w:t>
      </w:r>
      <w:r w:rsidR="00C40D5A">
        <w:rPr>
          <w:rFonts w:asciiTheme="minorHAnsi" w:hAnsiTheme="minorHAnsi" w:cstheme="minorHAnsi"/>
          <w:sz w:val="22"/>
        </w:rPr>
        <w:t>they</w:t>
      </w:r>
      <w:r w:rsidR="00C40D5A" w:rsidRPr="001F0ED9">
        <w:rPr>
          <w:rFonts w:asciiTheme="minorHAnsi" w:hAnsiTheme="minorHAnsi" w:cstheme="minorHAnsi"/>
          <w:sz w:val="22"/>
        </w:rPr>
        <w:t xml:space="preserve"> </w:t>
      </w:r>
      <w:r w:rsidRPr="001F0ED9">
        <w:rPr>
          <w:rFonts w:asciiTheme="minorHAnsi" w:hAnsiTheme="minorHAnsi" w:cstheme="minorHAnsi"/>
          <w:sz w:val="22"/>
        </w:rPr>
        <w:t>may be required to complete additional courses as selected by their supervisors</w:t>
      </w:r>
      <w:r w:rsidR="00C40D5A">
        <w:rPr>
          <w:rFonts w:asciiTheme="minorHAnsi" w:hAnsiTheme="minorHAnsi" w:cstheme="minorHAnsi"/>
          <w:sz w:val="22"/>
        </w:rPr>
        <w:t>.</w:t>
      </w:r>
      <w:r w:rsidR="00E61784">
        <w:rPr>
          <w:rFonts w:asciiTheme="minorHAnsi" w:hAnsiTheme="minorHAnsi" w:cstheme="minorHAnsi"/>
          <w:sz w:val="22"/>
        </w:rPr>
        <w:t xml:space="preserve"> </w:t>
      </w:r>
      <w:r w:rsidR="00C40D5A">
        <w:rPr>
          <w:rFonts w:asciiTheme="minorHAnsi" w:hAnsiTheme="minorHAnsi" w:cstheme="minorHAnsi"/>
          <w:sz w:val="22"/>
        </w:rPr>
        <w:t xml:space="preserve">All students </w:t>
      </w:r>
      <w:r w:rsidR="005B2647">
        <w:rPr>
          <w:rFonts w:asciiTheme="minorHAnsi" w:hAnsiTheme="minorHAnsi" w:cstheme="minorHAnsi"/>
          <w:sz w:val="22"/>
        </w:rPr>
        <w:t xml:space="preserve">are required to </w:t>
      </w:r>
      <w:r w:rsidR="00C40D5A">
        <w:rPr>
          <w:rFonts w:asciiTheme="minorHAnsi" w:hAnsiTheme="minorHAnsi" w:cstheme="minorHAnsi"/>
          <w:sz w:val="22"/>
        </w:rPr>
        <w:t>participate in</w:t>
      </w:r>
      <w:r w:rsidRPr="001F0ED9">
        <w:rPr>
          <w:rFonts w:asciiTheme="minorHAnsi" w:hAnsiTheme="minorHAnsi" w:cstheme="minorHAnsi"/>
          <w:sz w:val="22"/>
        </w:rPr>
        <w:t xml:space="preserve"> the </w:t>
      </w:r>
      <w:r w:rsidR="00C40D5A">
        <w:rPr>
          <w:rFonts w:asciiTheme="minorHAnsi" w:hAnsiTheme="minorHAnsi" w:cstheme="minorHAnsi"/>
          <w:sz w:val="22"/>
        </w:rPr>
        <w:t>Pharmacy Research</w:t>
      </w:r>
      <w:r w:rsidRPr="001F0ED9">
        <w:rPr>
          <w:rFonts w:asciiTheme="minorHAnsi" w:hAnsiTheme="minorHAnsi" w:cstheme="minorHAnsi"/>
          <w:sz w:val="22"/>
        </w:rPr>
        <w:t xml:space="preserve"> </w:t>
      </w:r>
      <w:r w:rsidR="00C40D5A">
        <w:rPr>
          <w:rFonts w:asciiTheme="minorHAnsi" w:hAnsiTheme="minorHAnsi" w:cstheme="minorHAnsi"/>
          <w:sz w:val="22"/>
        </w:rPr>
        <w:t>S</w:t>
      </w:r>
      <w:r w:rsidRPr="001F0ED9">
        <w:rPr>
          <w:rFonts w:asciiTheme="minorHAnsi" w:hAnsiTheme="minorHAnsi" w:cstheme="minorHAnsi"/>
          <w:sz w:val="22"/>
        </w:rPr>
        <w:t>eminars</w:t>
      </w:r>
      <w:r w:rsidR="005B2647">
        <w:rPr>
          <w:rFonts w:asciiTheme="minorHAnsi" w:hAnsiTheme="minorHAnsi" w:cstheme="minorHAnsi"/>
          <w:sz w:val="22"/>
        </w:rPr>
        <w:t>,</w:t>
      </w:r>
      <w:r w:rsidR="003A0871">
        <w:rPr>
          <w:rFonts w:asciiTheme="minorHAnsi" w:hAnsiTheme="minorHAnsi" w:cstheme="minorHAnsi"/>
          <w:sz w:val="22"/>
        </w:rPr>
        <w:t xml:space="preserve"> </w:t>
      </w:r>
      <w:r w:rsidRPr="001F0ED9">
        <w:rPr>
          <w:rFonts w:asciiTheme="minorHAnsi" w:hAnsiTheme="minorHAnsi" w:cstheme="minorHAnsi"/>
          <w:sz w:val="22"/>
        </w:rPr>
        <w:t xml:space="preserve">present a yearly seminar on their research, and write a thesis embodying original research. </w:t>
      </w:r>
    </w:p>
    <w:p w14:paraId="17CE2D9F"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BB8E256" w14:textId="62E81297"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All graduate students are expected to participate in inter-laboratory research progress presentations, journal clubs and seminars presented by visiting speakers.</w:t>
      </w:r>
      <w:r w:rsidR="00E61784">
        <w:rPr>
          <w:rFonts w:asciiTheme="minorHAnsi" w:hAnsiTheme="minorHAnsi" w:cstheme="minorHAnsi"/>
          <w:sz w:val="22"/>
        </w:rPr>
        <w:t xml:space="preserve"> </w:t>
      </w:r>
      <w:r w:rsidRPr="001F0ED9">
        <w:rPr>
          <w:rFonts w:asciiTheme="minorHAnsi" w:hAnsiTheme="minorHAnsi" w:cstheme="minorHAnsi"/>
          <w:sz w:val="22"/>
        </w:rPr>
        <w:t>MSc students are required to present a final seminar before submission of their thesis.</w:t>
      </w:r>
      <w:r w:rsidR="00E61784">
        <w:rPr>
          <w:rFonts w:asciiTheme="minorHAnsi" w:hAnsiTheme="minorHAnsi" w:cstheme="minorHAnsi"/>
          <w:sz w:val="22"/>
        </w:rPr>
        <w:t xml:space="preserve"> </w:t>
      </w:r>
      <w:r w:rsidRPr="001F0ED9">
        <w:rPr>
          <w:rFonts w:asciiTheme="minorHAnsi" w:hAnsiTheme="minorHAnsi" w:cstheme="minorHAnsi"/>
          <w:sz w:val="22"/>
        </w:rPr>
        <w:t xml:space="preserve">PhD candidates must pass a comprehensive examination consisting of written and </w:t>
      </w:r>
      <w:r w:rsidRPr="001F0ED9">
        <w:rPr>
          <w:rFonts w:asciiTheme="minorHAnsi" w:hAnsiTheme="minorHAnsi" w:cstheme="minorHAnsi"/>
          <w:sz w:val="22"/>
        </w:rPr>
        <w:lastRenderedPageBreak/>
        <w:t xml:space="preserve">oral components. The final exam for PhD candidates consists of an oral presentation of their research accomplishment, which is open to the public. </w:t>
      </w:r>
    </w:p>
    <w:p w14:paraId="5ECFD236" w14:textId="77777777" w:rsidR="006E5D8F" w:rsidRPr="001F0ED9" w:rsidRDefault="00D30958" w:rsidP="008305ED">
      <w:pPr>
        <w:spacing w:after="12"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65C03AB4" w14:textId="77777777" w:rsidR="006E5D8F" w:rsidRPr="00AC306C" w:rsidRDefault="00D30958" w:rsidP="008305ED">
      <w:pPr>
        <w:pStyle w:val="Heading4"/>
        <w:spacing w:line="240" w:lineRule="auto"/>
        <w:ind w:left="-5" w:right="15"/>
        <w:rPr>
          <w:rFonts w:asciiTheme="minorHAnsi" w:hAnsiTheme="minorHAnsi" w:cstheme="minorHAnsi"/>
          <w:i w:val="0"/>
          <w:iCs/>
          <w:sz w:val="24"/>
          <w:szCs w:val="24"/>
        </w:rPr>
      </w:pPr>
      <w:r w:rsidRPr="00AC306C">
        <w:rPr>
          <w:rFonts w:asciiTheme="minorHAnsi" w:hAnsiTheme="minorHAnsi" w:cstheme="minorHAnsi"/>
          <w:i w:val="0"/>
          <w:iCs/>
          <w:sz w:val="24"/>
          <w:szCs w:val="24"/>
        </w:rPr>
        <w:t xml:space="preserve">Graduate Courses </w:t>
      </w:r>
    </w:p>
    <w:p w14:paraId="7C3379D4" w14:textId="4D8EB452" w:rsidR="006E5D8F" w:rsidRDefault="00D30958" w:rsidP="00AC306C">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Permission of the instructor and the Graduate Studies</w:t>
      </w:r>
      <w:r w:rsidR="00C40D5A">
        <w:rPr>
          <w:rFonts w:asciiTheme="minorHAnsi" w:hAnsiTheme="minorHAnsi" w:cstheme="minorHAnsi"/>
          <w:sz w:val="22"/>
        </w:rPr>
        <w:t xml:space="preserve"> &amp; Research</w:t>
      </w:r>
      <w:r w:rsidRPr="001F0ED9">
        <w:rPr>
          <w:rFonts w:asciiTheme="minorHAnsi" w:hAnsiTheme="minorHAnsi" w:cstheme="minorHAnsi"/>
          <w:sz w:val="22"/>
        </w:rPr>
        <w:t xml:space="preserve"> Committee of the School of Pharmacy are required for admission to any of the graduate courses in pharmacy. </w:t>
      </w:r>
    </w:p>
    <w:p w14:paraId="20CD4C90" w14:textId="6FE40956" w:rsidR="00CA2CEE" w:rsidRDefault="00CA2CEE" w:rsidP="008305ED">
      <w:pPr>
        <w:spacing w:line="240" w:lineRule="auto"/>
        <w:ind w:left="-5" w:right="15"/>
        <w:jc w:val="left"/>
        <w:rPr>
          <w:rFonts w:asciiTheme="minorHAnsi" w:hAnsiTheme="minorHAnsi" w:cstheme="minorHAnsi"/>
          <w:sz w:val="22"/>
        </w:rPr>
      </w:pPr>
    </w:p>
    <w:p w14:paraId="14BDE493" w14:textId="77777777" w:rsidR="00CA2CEE" w:rsidRPr="00E61784" w:rsidRDefault="00CA2CEE" w:rsidP="008305ED">
      <w:pPr>
        <w:spacing w:after="0" w:line="240" w:lineRule="auto"/>
        <w:ind w:right="15"/>
        <w:jc w:val="left"/>
        <w:rPr>
          <w:rFonts w:asciiTheme="minorHAnsi" w:eastAsia="Nunito" w:hAnsiTheme="minorHAnsi" w:cstheme="minorHAnsi"/>
          <w:sz w:val="22"/>
        </w:rPr>
      </w:pPr>
      <w:r w:rsidRPr="00E61784">
        <w:rPr>
          <w:rFonts w:asciiTheme="minorHAnsi" w:eastAsia="Nunito" w:hAnsiTheme="minorHAnsi" w:cstheme="minorHAnsi"/>
          <w:sz w:val="22"/>
        </w:rPr>
        <w:t>List of Graduate Courses in the School of Pharmacy:</w:t>
      </w:r>
    </w:p>
    <w:p w14:paraId="53F691CD" w14:textId="77777777" w:rsidR="00CA2CEE" w:rsidRPr="00E61784" w:rsidRDefault="00CA2CEE" w:rsidP="008305ED">
      <w:pPr>
        <w:spacing w:after="0" w:line="240" w:lineRule="auto"/>
        <w:ind w:right="15"/>
        <w:rPr>
          <w:rFonts w:asciiTheme="minorHAnsi" w:eastAsia="Nunito" w:hAnsiTheme="minorHAnsi" w:cstheme="minorHAnsi"/>
          <w:sz w:val="22"/>
        </w:rPr>
      </w:pPr>
    </w:p>
    <w:p w14:paraId="35443A5E" w14:textId="77777777" w:rsidR="00CA2CEE" w:rsidRPr="00E61784" w:rsidRDefault="00CA2CEE" w:rsidP="008305ED">
      <w:pPr>
        <w:numPr>
          <w:ilvl w:val="0"/>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6000 Medicinal Chemistry  </w:t>
      </w:r>
      <w:r w:rsidRPr="00E61784">
        <w:rPr>
          <w:rFonts w:asciiTheme="minorHAnsi" w:eastAsia="Nunito" w:hAnsiTheme="minorHAnsi" w:cstheme="minorHAnsi"/>
          <w:sz w:val="22"/>
        </w:rPr>
        <w:t xml:space="preserve"> </w:t>
      </w:r>
    </w:p>
    <w:p w14:paraId="157FFA46" w14:textId="77777777" w:rsidR="00CA2CEE" w:rsidRPr="00E61784" w:rsidRDefault="00CA2CEE" w:rsidP="008305ED">
      <w:pPr>
        <w:numPr>
          <w:ilvl w:val="0"/>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6002 Dosage Form Design and Novel Drug Delivery Systems*</w:t>
      </w:r>
    </w:p>
    <w:p w14:paraId="69B105E6" w14:textId="77777777" w:rsidR="00CA2CEE" w:rsidRPr="00E61784" w:rsidRDefault="00CA2CEE" w:rsidP="008305ED">
      <w:pPr>
        <w:numPr>
          <w:ilvl w:val="0"/>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 xml:space="preserve">PHAR 6003 Pharmacokinetic Modelling </w:t>
      </w:r>
    </w:p>
    <w:p w14:paraId="473C4AC8" w14:textId="77777777" w:rsidR="00CA2CEE" w:rsidRPr="00E61784" w:rsidRDefault="00CA2CEE" w:rsidP="008305ED">
      <w:pPr>
        <w:numPr>
          <w:ilvl w:val="0"/>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 xml:space="preserve">PHAR 6004 Principles of General Pharmacology </w:t>
      </w:r>
    </w:p>
    <w:p w14:paraId="6F0DA8A7" w14:textId="77777777" w:rsidR="00CA2CEE" w:rsidRPr="00E61784" w:rsidRDefault="00CA2CEE" w:rsidP="008305ED">
      <w:pPr>
        <w:numPr>
          <w:ilvl w:val="0"/>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6005 Toxicology of Therapeutic Agents and Chemicals*</w:t>
      </w:r>
    </w:p>
    <w:p w14:paraId="7A0C123D" w14:textId="77777777" w:rsidR="00CA2CEE" w:rsidRPr="00E61784" w:rsidRDefault="00CA2CEE" w:rsidP="008305ED">
      <w:pPr>
        <w:numPr>
          <w:ilvl w:val="0"/>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6006 Health Economics</w:t>
      </w:r>
    </w:p>
    <w:p w14:paraId="3C24ACDD" w14:textId="77777777" w:rsidR="00CA2CEE" w:rsidRPr="00E61784" w:rsidRDefault="00CA2CEE" w:rsidP="008305ED">
      <w:pPr>
        <w:numPr>
          <w:ilvl w:val="0"/>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6100 (6101-6109) Special Topics courses:</w:t>
      </w:r>
    </w:p>
    <w:p w14:paraId="66087A1E" w14:textId="77777777"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 xml:space="preserve">PHAR 6101 </w:t>
      </w:r>
      <w:r w:rsidRPr="00E61784">
        <w:rPr>
          <w:rFonts w:asciiTheme="minorHAnsi" w:hAnsiTheme="minorHAnsi" w:cstheme="minorHAnsi"/>
          <w:bCs/>
          <w:sz w:val="22"/>
        </w:rPr>
        <w:t>Application of Nanomaterials in Drug Delivery</w:t>
      </w:r>
    </w:p>
    <w:p w14:paraId="6E41B6F3" w14:textId="77777777"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 xml:space="preserve">PHAR 6102 Chemistry of Heterocyclic Pharmaceuticals and </w:t>
      </w:r>
      <w:proofErr w:type="spellStart"/>
      <w:r w:rsidRPr="00E61784">
        <w:rPr>
          <w:rFonts w:asciiTheme="minorHAnsi" w:hAnsiTheme="minorHAnsi" w:cstheme="minorHAnsi"/>
          <w:sz w:val="22"/>
        </w:rPr>
        <w:t>Medicinals</w:t>
      </w:r>
      <w:proofErr w:type="spellEnd"/>
      <w:r w:rsidRPr="00E61784">
        <w:rPr>
          <w:rFonts w:asciiTheme="minorHAnsi" w:hAnsiTheme="minorHAnsi" w:cstheme="minorHAnsi"/>
          <w:sz w:val="22"/>
        </w:rPr>
        <w:t>*</w:t>
      </w:r>
    </w:p>
    <w:p w14:paraId="6A147140" w14:textId="77777777"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6103 Cannabis Policy</w:t>
      </w:r>
    </w:p>
    <w:p w14:paraId="2D499086" w14:textId="32EAEFCE"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 xml:space="preserve">PHAR 6104 </w:t>
      </w:r>
      <w:r w:rsidR="009374E0" w:rsidRPr="00E61784">
        <w:rPr>
          <w:rFonts w:asciiTheme="minorHAnsi" w:hAnsiTheme="minorHAnsi" w:cstheme="minorHAnsi"/>
          <w:sz w:val="22"/>
        </w:rPr>
        <w:t xml:space="preserve">Protein Structure and Function  </w:t>
      </w:r>
    </w:p>
    <w:p w14:paraId="7A3A2A36" w14:textId="77777777"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6105 Pharmacoepidemiology</w:t>
      </w:r>
    </w:p>
    <w:p w14:paraId="2472490A" w14:textId="725AD9A3"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 xml:space="preserve">PHAR 6106 </w:t>
      </w:r>
      <w:r w:rsidR="009374E0" w:rsidRPr="00E61784">
        <w:rPr>
          <w:rFonts w:asciiTheme="minorHAnsi" w:hAnsiTheme="minorHAnsi" w:cstheme="minorHAnsi"/>
          <w:sz w:val="22"/>
        </w:rPr>
        <w:t>Advanced Research Methods Health Economics</w:t>
      </w:r>
    </w:p>
    <w:p w14:paraId="4F68BC01" w14:textId="77777777"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6107 Advanced Research Methods in Teaching and Learning</w:t>
      </w:r>
    </w:p>
    <w:p w14:paraId="0001551F" w14:textId="77777777" w:rsidR="00CA2CEE" w:rsidRPr="00E61784" w:rsidRDefault="00CA2CEE" w:rsidP="008305ED">
      <w:pPr>
        <w:numPr>
          <w:ilvl w:val="1"/>
          <w:numId w:val="33"/>
        </w:numPr>
        <w:spacing w:after="0" w:line="240" w:lineRule="auto"/>
        <w:ind w:right="15"/>
        <w:jc w:val="left"/>
        <w:rPr>
          <w:rFonts w:asciiTheme="minorHAnsi" w:eastAsia="Nunito" w:hAnsiTheme="minorHAnsi" w:cstheme="minorHAnsi"/>
          <w:sz w:val="22"/>
        </w:rPr>
      </w:pPr>
      <w:r w:rsidRPr="00E61784">
        <w:rPr>
          <w:rFonts w:asciiTheme="minorHAnsi" w:hAnsiTheme="minorHAnsi" w:cstheme="minorHAnsi"/>
          <w:sz w:val="22"/>
        </w:rPr>
        <w:t>PHAR 6108 Drug Design I</w:t>
      </w:r>
    </w:p>
    <w:p w14:paraId="4E2B492C" w14:textId="77777777" w:rsidR="00CA2CEE" w:rsidRPr="00E61784" w:rsidRDefault="00CA2CEE" w:rsidP="008305ED">
      <w:pPr>
        <w:pStyle w:val="ListParagraph"/>
        <w:numPr>
          <w:ilvl w:val="0"/>
          <w:numId w:val="33"/>
        </w:numPr>
        <w:spacing w:after="200" w:line="240" w:lineRule="auto"/>
        <w:ind w:right="15"/>
        <w:jc w:val="left"/>
        <w:rPr>
          <w:rFonts w:asciiTheme="minorHAnsi" w:hAnsiTheme="minorHAnsi" w:cstheme="minorHAnsi"/>
          <w:sz w:val="22"/>
        </w:rPr>
      </w:pPr>
      <w:r w:rsidRPr="00E61784">
        <w:rPr>
          <w:rFonts w:asciiTheme="minorHAnsi" w:hAnsiTheme="minorHAnsi" w:cstheme="minorHAnsi"/>
          <w:sz w:val="22"/>
        </w:rPr>
        <w:t xml:space="preserve">PHAR 6951 Assessment and Evaluation in Health Professions Education. </w:t>
      </w:r>
    </w:p>
    <w:p w14:paraId="6DA2FEB1" w14:textId="77777777" w:rsidR="00CA2CEE" w:rsidRPr="00CA2CEE" w:rsidRDefault="00CA2CEE" w:rsidP="008305ED">
      <w:pPr>
        <w:spacing w:after="0" w:line="240" w:lineRule="auto"/>
        <w:ind w:right="15" w:firstLine="350"/>
        <w:rPr>
          <w:rFonts w:asciiTheme="minorHAnsi" w:eastAsia="Nunito" w:hAnsiTheme="minorHAnsi" w:cstheme="minorHAnsi"/>
          <w:sz w:val="22"/>
        </w:rPr>
      </w:pPr>
      <w:r w:rsidRPr="00E61784">
        <w:rPr>
          <w:rFonts w:asciiTheme="minorHAnsi" w:eastAsia="Nunito" w:hAnsiTheme="minorHAnsi" w:cstheme="minorHAnsi"/>
          <w:sz w:val="22"/>
        </w:rPr>
        <w:t>*Course not offered in recent years</w:t>
      </w:r>
    </w:p>
    <w:p w14:paraId="7B770308" w14:textId="44895CE8" w:rsidR="006E5D8F" w:rsidRPr="001F0ED9" w:rsidRDefault="006E5D8F" w:rsidP="008305ED">
      <w:pPr>
        <w:spacing w:after="0" w:line="240" w:lineRule="auto"/>
        <w:ind w:left="0" w:right="15" w:firstLine="0"/>
        <w:jc w:val="left"/>
        <w:rPr>
          <w:rFonts w:asciiTheme="minorHAnsi" w:hAnsiTheme="minorHAnsi" w:cstheme="minorHAnsi"/>
          <w:sz w:val="22"/>
        </w:rPr>
      </w:pPr>
    </w:p>
    <w:p w14:paraId="1FBC4B9C" w14:textId="7C1E1ACC"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The course content, instruction method, and marking system </w:t>
      </w:r>
      <w:r w:rsidR="00E61784">
        <w:rPr>
          <w:rFonts w:asciiTheme="minorHAnsi" w:hAnsiTheme="minorHAnsi" w:cstheme="minorHAnsi"/>
          <w:sz w:val="22"/>
        </w:rPr>
        <w:t>are based on the relevant supervisory committees' recommendation(s) and the research requirements for each</w:t>
      </w:r>
      <w:r w:rsidRPr="001F0ED9">
        <w:rPr>
          <w:rFonts w:asciiTheme="minorHAnsi" w:hAnsiTheme="minorHAnsi" w:cstheme="minorHAnsi"/>
          <w:sz w:val="22"/>
        </w:rPr>
        <w:t xml:space="preserve"> student.  </w:t>
      </w:r>
    </w:p>
    <w:p w14:paraId="15AD6356"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7C88E8B" w14:textId="18F5A462"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The above courses will be offered on a schedule </w:t>
      </w:r>
      <w:r w:rsidR="0055448E">
        <w:rPr>
          <w:rFonts w:asciiTheme="minorHAnsi" w:hAnsiTheme="minorHAnsi" w:cstheme="minorHAnsi"/>
          <w:sz w:val="22"/>
        </w:rPr>
        <w:t>that</w:t>
      </w:r>
      <w:r w:rsidR="0055448E" w:rsidRPr="001F0ED9">
        <w:rPr>
          <w:rFonts w:asciiTheme="minorHAnsi" w:hAnsiTheme="minorHAnsi" w:cstheme="minorHAnsi"/>
          <w:sz w:val="22"/>
        </w:rPr>
        <w:t xml:space="preserve"> </w:t>
      </w:r>
      <w:r w:rsidRPr="001F0ED9">
        <w:rPr>
          <w:rFonts w:asciiTheme="minorHAnsi" w:hAnsiTheme="minorHAnsi" w:cstheme="minorHAnsi"/>
          <w:sz w:val="22"/>
        </w:rPr>
        <w:t>will meet the student</w:t>
      </w:r>
      <w:r w:rsidR="004D47CF">
        <w:rPr>
          <w:rFonts w:asciiTheme="minorHAnsi" w:hAnsiTheme="minorHAnsi" w:cstheme="minorHAnsi"/>
          <w:sz w:val="22"/>
        </w:rPr>
        <w:t>’</w:t>
      </w:r>
      <w:r w:rsidRPr="001F0ED9">
        <w:rPr>
          <w:rFonts w:asciiTheme="minorHAnsi" w:hAnsiTheme="minorHAnsi" w:cstheme="minorHAnsi"/>
          <w:sz w:val="22"/>
        </w:rPr>
        <w:t xml:space="preserve">s program requirements. </w:t>
      </w:r>
    </w:p>
    <w:p w14:paraId="24113C18"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443B3724" w14:textId="77777777" w:rsidR="006E5D8F" w:rsidRPr="003F3C66" w:rsidRDefault="00D30958" w:rsidP="00AC306C">
      <w:pPr>
        <w:pStyle w:val="Heading4"/>
        <w:spacing w:line="240" w:lineRule="auto"/>
        <w:ind w:left="-5" w:right="15"/>
        <w:rPr>
          <w:rFonts w:asciiTheme="minorHAnsi" w:hAnsiTheme="minorHAnsi" w:cstheme="minorHAnsi"/>
          <w:b w:val="0"/>
          <w:bCs/>
          <w:sz w:val="24"/>
          <w:szCs w:val="24"/>
          <w:u w:val="single"/>
        </w:rPr>
      </w:pPr>
      <w:r w:rsidRPr="003F3C66">
        <w:rPr>
          <w:rFonts w:asciiTheme="minorHAnsi" w:hAnsiTheme="minorHAnsi" w:cstheme="minorHAnsi"/>
          <w:b w:val="0"/>
          <w:bCs/>
          <w:sz w:val="24"/>
          <w:szCs w:val="24"/>
          <w:u w:val="single"/>
        </w:rPr>
        <w:t xml:space="preserve">Other Requirements </w:t>
      </w:r>
    </w:p>
    <w:p w14:paraId="77FE4AF9" w14:textId="29F6EC30" w:rsidR="006E5D8F" w:rsidRPr="001F0ED9" w:rsidRDefault="00D30958" w:rsidP="00AC306C">
      <w:pPr>
        <w:spacing w:after="0"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All graduate students are required to take </w:t>
      </w:r>
      <w:r w:rsidR="0055448E">
        <w:rPr>
          <w:rFonts w:asciiTheme="minorHAnsi" w:hAnsiTheme="minorHAnsi" w:cstheme="minorHAnsi"/>
          <w:sz w:val="22"/>
        </w:rPr>
        <w:t xml:space="preserve">the </w:t>
      </w:r>
      <w:r w:rsidRPr="001F0ED9">
        <w:rPr>
          <w:rFonts w:asciiTheme="minorHAnsi" w:hAnsiTheme="minorHAnsi" w:cstheme="minorHAnsi"/>
          <w:sz w:val="22"/>
        </w:rPr>
        <w:t xml:space="preserve">Personal Health Information Act (PHIA) training (for details see: </w:t>
      </w:r>
      <w:r w:rsidRPr="001F0ED9">
        <w:rPr>
          <w:rFonts w:asciiTheme="minorHAnsi" w:hAnsiTheme="minorHAnsi" w:cstheme="minorHAnsi"/>
          <w:color w:val="0000FF"/>
          <w:sz w:val="22"/>
          <w:u w:val="single" w:color="0000FF"/>
        </w:rPr>
        <w:t>http://www.mun.ca/sgs/current/PHIATraining.php</w:t>
      </w:r>
      <w:r w:rsidRPr="001F0ED9">
        <w:rPr>
          <w:rFonts w:asciiTheme="minorHAnsi" w:hAnsiTheme="minorHAnsi" w:cstheme="minorHAnsi"/>
          <w:sz w:val="22"/>
        </w:rPr>
        <w:t>).</w:t>
      </w:r>
      <w:r w:rsidR="00E61784">
        <w:rPr>
          <w:rFonts w:asciiTheme="minorHAnsi" w:hAnsiTheme="minorHAnsi" w:cstheme="minorHAnsi"/>
          <w:sz w:val="22"/>
        </w:rPr>
        <w:t xml:space="preserve"> </w:t>
      </w:r>
      <w:r w:rsidR="0016696A">
        <w:rPr>
          <w:rFonts w:asciiTheme="minorHAnsi" w:hAnsiTheme="minorHAnsi" w:cstheme="minorHAnsi"/>
          <w:sz w:val="22"/>
        </w:rPr>
        <w:t>S</w:t>
      </w:r>
      <w:r w:rsidRPr="001F0ED9">
        <w:rPr>
          <w:rFonts w:asciiTheme="minorHAnsi" w:hAnsiTheme="minorHAnsi" w:cstheme="minorHAnsi"/>
          <w:sz w:val="22"/>
        </w:rPr>
        <w:t xml:space="preserve">tudents whose research includes laboratory work </w:t>
      </w:r>
      <w:r w:rsidR="0016696A">
        <w:rPr>
          <w:rFonts w:asciiTheme="minorHAnsi" w:hAnsiTheme="minorHAnsi" w:cstheme="minorHAnsi"/>
          <w:sz w:val="22"/>
        </w:rPr>
        <w:t xml:space="preserve">must complete </w:t>
      </w:r>
      <w:r w:rsidRPr="001F0ED9">
        <w:rPr>
          <w:rFonts w:asciiTheme="minorHAnsi" w:hAnsiTheme="minorHAnsi" w:cstheme="minorHAnsi"/>
          <w:sz w:val="22"/>
        </w:rPr>
        <w:t xml:space="preserve">the “Workplace Hazardous Materials Information System (WHMIS)” </w:t>
      </w:r>
      <w:r w:rsidR="0016696A">
        <w:rPr>
          <w:rFonts w:asciiTheme="minorHAnsi" w:hAnsiTheme="minorHAnsi" w:cstheme="minorHAnsi"/>
          <w:sz w:val="22"/>
        </w:rPr>
        <w:t xml:space="preserve">and “Lab Safety” </w:t>
      </w:r>
      <w:r w:rsidRPr="001F0ED9">
        <w:rPr>
          <w:rFonts w:asciiTheme="minorHAnsi" w:hAnsiTheme="minorHAnsi" w:cstheme="minorHAnsi"/>
          <w:sz w:val="22"/>
        </w:rPr>
        <w:t>program</w:t>
      </w:r>
      <w:r w:rsidR="0016696A">
        <w:rPr>
          <w:rFonts w:asciiTheme="minorHAnsi" w:hAnsiTheme="minorHAnsi" w:cstheme="minorHAnsi"/>
          <w:sz w:val="22"/>
        </w:rPr>
        <w:t>s</w:t>
      </w:r>
      <w:r w:rsidRPr="001F0ED9">
        <w:rPr>
          <w:rFonts w:asciiTheme="minorHAnsi" w:hAnsiTheme="minorHAnsi" w:cstheme="minorHAnsi"/>
          <w:sz w:val="22"/>
        </w:rPr>
        <w:t xml:space="preserve"> (</w:t>
      </w:r>
      <w:hyperlink r:id="rId12" w:history="1">
        <w:r w:rsidR="0016696A" w:rsidRPr="0016696A">
          <w:rPr>
            <w:rStyle w:val="Hyperlink"/>
            <w:rFonts w:asciiTheme="minorHAnsi" w:hAnsiTheme="minorHAnsi" w:cstheme="minorHAnsi"/>
            <w:sz w:val="22"/>
          </w:rPr>
          <w:t>https://www.mun.ca/health_safety/training/COursedeccriptionWHMIS.php</w:t>
        </w:r>
      </w:hyperlink>
      <w:r w:rsidRPr="001F0ED9">
        <w:rPr>
          <w:rFonts w:asciiTheme="minorHAnsi" w:hAnsiTheme="minorHAnsi" w:cstheme="minorHAnsi"/>
          <w:sz w:val="22"/>
        </w:rPr>
        <w:t>) offered by Environmental</w:t>
      </w:r>
      <w:r w:rsidR="0016696A">
        <w:rPr>
          <w:rFonts w:asciiTheme="minorHAnsi" w:hAnsiTheme="minorHAnsi" w:cstheme="minorHAnsi"/>
          <w:sz w:val="22"/>
        </w:rPr>
        <w:t xml:space="preserve"> Health and</w:t>
      </w:r>
      <w:r w:rsidRPr="001F0ED9">
        <w:rPr>
          <w:rFonts w:asciiTheme="minorHAnsi" w:hAnsiTheme="minorHAnsi" w:cstheme="minorHAnsi"/>
          <w:sz w:val="22"/>
        </w:rPr>
        <w:t xml:space="preserve"> </w:t>
      </w:r>
      <w:r w:rsidR="0016696A">
        <w:rPr>
          <w:rFonts w:asciiTheme="minorHAnsi" w:hAnsiTheme="minorHAnsi" w:cstheme="minorHAnsi"/>
          <w:sz w:val="22"/>
        </w:rPr>
        <w:t>Safety at Memorial University</w:t>
      </w:r>
      <w:r w:rsidRPr="001F0ED9">
        <w:rPr>
          <w:rFonts w:asciiTheme="minorHAnsi" w:hAnsiTheme="minorHAnsi" w:cstheme="minorHAnsi"/>
          <w:sz w:val="22"/>
        </w:rPr>
        <w:t xml:space="preserve">.  </w:t>
      </w:r>
    </w:p>
    <w:p w14:paraId="6B8FBFB1" w14:textId="77777777" w:rsidR="00AC306C" w:rsidRDefault="00AC306C" w:rsidP="008305ED">
      <w:pPr>
        <w:spacing w:after="50" w:line="240" w:lineRule="auto"/>
        <w:ind w:left="0" w:right="15" w:firstLine="0"/>
        <w:jc w:val="left"/>
        <w:rPr>
          <w:rFonts w:asciiTheme="minorHAnsi" w:hAnsiTheme="minorHAnsi" w:cstheme="minorHAnsi"/>
          <w:sz w:val="22"/>
        </w:rPr>
      </w:pPr>
    </w:p>
    <w:p w14:paraId="718F2851" w14:textId="3B98AF74" w:rsidR="006E5D8F" w:rsidRPr="001F0ED9" w:rsidRDefault="00D30958" w:rsidP="008305ED">
      <w:pPr>
        <w:spacing w:after="5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1C0AA0FE" w14:textId="77777777" w:rsidR="006E5D8F" w:rsidRPr="00AA5A22" w:rsidRDefault="00D30958" w:rsidP="008305ED">
      <w:pPr>
        <w:pStyle w:val="Heading1"/>
        <w:spacing w:line="240" w:lineRule="auto"/>
        <w:ind w:left="0" w:right="15"/>
        <w:rPr>
          <w:rFonts w:asciiTheme="minorHAnsi" w:hAnsiTheme="minorHAnsi" w:cstheme="minorHAnsi"/>
          <w:bCs/>
          <w:sz w:val="32"/>
          <w:szCs w:val="32"/>
        </w:rPr>
      </w:pPr>
      <w:bookmarkStart w:id="4" w:name="_Toc111554532"/>
      <w:r w:rsidRPr="00AA5A22">
        <w:rPr>
          <w:rFonts w:asciiTheme="minorHAnsi" w:hAnsiTheme="minorHAnsi" w:cstheme="minorHAnsi"/>
          <w:bCs/>
          <w:sz w:val="32"/>
          <w:szCs w:val="32"/>
        </w:rPr>
        <w:t>Financial Assistance</w:t>
      </w:r>
      <w:bookmarkEnd w:id="4"/>
      <w:r w:rsidRPr="00AA5A22">
        <w:rPr>
          <w:rFonts w:asciiTheme="minorHAnsi" w:hAnsiTheme="minorHAnsi" w:cstheme="minorHAnsi"/>
          <w:bCs/>
          <w:sz w:val="32"/>
          <w:szCs w:val="32"/>
        </w:rPr>
        <w:t xml:space="preserve"> </w:t>
      </w:r>
    </w:p>
    <w:p w14:paraId="5ECEE399"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41FE4EAE" w14:textId="24B87ADD"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Depending upon the program of study, </w:t>
      </w:r>
      <w:r w:rsidR="0016696A">
        <w:rPr>
          <w:rFonts w:asciiTheme="minorHAnsi" w:hAnsiTheme="minorHAnsi" w:cstheme="minorHAnsi"/>
          <w:sz w:val="22"/>
        </w:rPr>
        <w:t xml:space="preserve">and contingent on a number of factors (funding availability, GPA), </w:t>
      </w:r>
      <w:r w:rsidRPr="001F0ED9">
        <w:rPr>
          <w:rFonts w:asciiTheme="minorHAnsi" w:hAnsiTheme="minorHAnsi" w:cstheme="minorHAnsi"/>
          <w:sz w:val="22"/>
        </w:rPr>
        <w:t xml:space="preserve">each full-time student enrolled </w:t>
      </w:r>
      <w:r w:rsidR="0016696A">
        <w:rPr>
          <w:rFonts w:asciiTheme="minorHAnsi" w:hAnsiTheme="minorHAnsi" w:cstheme="minorHAnsi"/>
          <w:sz w:val="22"/>
        </w:rPr>
        <w:t>in a</w:t>
      </w:r>
      <w:r w:rsidRPr="001F0ED9">
        <w:rPr>
          <w:rFonts w:asciiTheme="minorHAnsi" w:hAnsiTheme="minorHAnsi" w:cstheme="minorHAnsi"/>
          <w:sz w:val="22"/>
        </w:rPr>
        <w:t xml:space="preserve"> </w:t>
      </w:r>
      <w:r w:rsidR="0016696A">
        <w:rPr>
          <w:rFonts w:asciiTheme="minorHAnsi" w:hAnsiTheme="minorHAnsi" w:cstheme="minorHAnsi"/>
          <w:sz w:val="22"/>
        </w:rPr>
        <w:t>School of P</w:t>
      </w:r>
      <w:r w:rsidR="0016696A" w:rsidRPr="001F0ED9">
        <w:rPr>
          <w:rFonts w:asciiTheme="minorHAnsi" w:hAnsiTheme="minorHAnsi" w:cstheme="minorHAnsi"/>
          <w:sz w:val="22"/>
        </w:rPr>
        <w:t xml:space="preserve">harmacy </w:t>
      </w:r>
      <w:r w:rsidR="0016696A">
        <w:rPr>
          <w:rFonts w:asciiTheme="minorHAnsi" w:hAnsiTheme="minorHAnsi" w:cstheme="minorHAnsi"/>
          <w:sz w:val="22"/>
        </w:rPr>
        <w:t>g</w:t>
      </w:r>
      <w:r w:rsidR="0016696A" w:rsidRPr="001F0ED9">
        <w:rPr>
          <w:rFonts w:asciiTheme="minorHAnsi" w:hAnsiTheme="minorHAnsi" w:cstheme="minorHAnsi"/>
          <w:sz w:val="22"/>
        </w:rPr>
        <w:t xml:space="preserve">raduate program </w:t>
      </w:r>
      <w:r w:rsidRPr="001F0ED9">
        <w:rPr>
          <w:rFonts w:asciiTheme="minorHAnsi" w:hAnsiTheme="minorHAnsi" w:cstheme="minorHAnsi"/>
          <w:sz w:val="22"/>
        </w:rPr>
        <w:t xml:space="preserve">may </w:t>
      </w:r>
      <w:r w:rsidR="0016696A">
        <w:rPr>
          <w:rFonts w:asciiTheme="minorHAnsi" w:hAnsiTheme="minorHAnsi" w:cstheme="minorHAnsi"/>
          <w:sz w:val="22"/>
        </w:rPr>
        <w:t xml:space="preserve">be eligible to </w:t>
      </w:r>
      <w:r w:rsidRPr="001F0ED9">
        <w:rPr>
          <w:rFonts w:asciiTheme="minorHAnsi" w:hAnsiTheme="minorHAnsi" w:cstheme="minorHAnsi"/>
          <w:sz w:val="22"/>
        </w:rPr>
        <w:t xml:space="preserve">receive financial support </w:t>
      </w:r>
      <w:r w:rsidR="0016696A">
        <w:rPr>
          <w:rFonts w:asciiTheme="minorHAnsi" w:hAnsiTheme="minorHAnsi" w:cstheme="minorHAnsi"/>
          <w:sz w:val="22"/>
        </w:rPr>
        <w:t xml:space="preserve">equivalent to </w:t>
      </w:r>
      <w:r w:rsidRPr="001F0ED9">
        <w:rPr>
          <w:rFonts w:asciiTheme="minorHAnsi" w:hAnsiTheme="minorHAnsi" w:cstheme="minorHAnsi"/>
          <w:sz w:val="22"/>
        </w:rPr>
        <w:t>two years for MSc and up to four years for PhD</w:t>
      </w:r>
      <w:r w:rsidR="0016696A">
        <w:rPr>
          <w:rFonts w:asciiTheme="minorHAnsi" w:hAnsiTheme="minorHAnsi" w:cstheme="minorHAnsi"/>
          <w:sz w:val="22"/>
        </w:rPr>
        <w:t xml:space="preserve"> (</w:t>
      </w:r>
      <w:r w:rsidRPr="001F0ED9">
        <w:rPr>
          <w:rFonts w:asciiTheme="minorHAnsi" w:hAnsiTheme="minorHAnsi" w:cstheme="minorHAnsi"/>
          <w:sz w:val="22"/>
        </w:rPr>
        <w:t xml:space="preserve">including the first two years of </w:t>
      </w:r>
      <w:r w:rsidR="0016696A">
        <w:rPr>
          <w:rFonts w:asciiTheme="minorHAnsi" w:hAnsiTheme="minorHAnsi" w:cstheme="minorHAnsi"/>
          <w:sz w:val="22"/>
        </w:rPr>
        <w:t xml:space="preserve">the </w:t>
      </w:r>
      <w:r w:rsidRPr="001F0ED9">
        <w:rPr>
          <w:rFonts w:asciiTheme="minorHAnsi" w:hAnsiTheme="minorHAnsi" w:cstheme="minorHAnsi"/>
          <w:sz w:val="22"/>
        </w:rPr>
        <w:t>MSc</w:t>
      </w:r>
      <w:r w:rsidR="0016696A">
        <w:rPr>
          <w:rFonts w:asciiTheme="minorHAnsi" w:hAnsiTheme="minorHAnsi" w:cstheme="minorHAnsi"/>
          <w:sz w:val="22"/>
        </w:rPr>
        <w:t>)</w:t>
      </w:r>
      <w:r w:rsidRPr="001F0ED9">
        <w:rPr>
          <w:rFonts w:asciiTheme="minorHAnsi" w:hAnsiTheme="minorHAnsi" w:cstheme="minorHAnsi"/>
          <w:sz w:val="22"/>
        </w:rPr>
        <w:t>.</w:t>
      </w:r>
      <w:r w:rsidR="00E61784">
        <w:rPr>
          <w:rFonts w:asciiTheme="minorHAnsi" w:hAnsiTheme="minorHAnsi" w:cstheme="minorHAnsi"/>
          <w:sz w:val="22"/>
        </w:rPr>
        <w:t xml:space="preserve"> </w:t>
      </w:r>
      <w:r w:rsidRPr="001F0ED9">
        <w:rPr>
          <w:rFonts w:asciiTheme="minorHAnsi" w:hAnsiTheme="minorHAnsi" w:cstheme="minorHAnsi"/>
          <w:sz w:val="22"/>
        </w:rPr>
        <w:t xml:space="preserve"> Students may be eligible for a Graduate Fellowship from the School of Graduate Studies and/or a Teaching Assistantship </w:t>
      </w:r>
      <w:r w:rsidRPr="001F0ED9">
        <w:rPr>
          <w:rFonts w:asciiTheme="minorHAnsi" w:hAnsiTheme="minorHAnsi" w:cstheme="minorHAnsi"/>
          <w:sz w:val="22"/>
        </w:rPr>
        <w:lastRenderedPageBreak/>
        <w:t>(TA). A teaching assistantship will involve marking, demonstrating and/or related responsibilities in undergraduate pharmacy or related courses.</w:t>
      </w:r>
      <w:r w:rsidR="00E61784">
        <w:rPr>
          <w:rFonts w:asciiTheme="minorHAnsi" w:hAnsiTheme="minorHAnsi" w:cstheme="minorHAnsi"/>
          <w:sz w:val="22"/>
        </w:rPr>
        <w:t xml:space="preserve"> </w:t>
      </w:r>
      <w:r w:rsidRPr="001F0ED9">
        <w:rPr>
          <w:rFonts w:asciiTheme="minorHAnsi" w:hAnsiTheme="minorHAnsi" w:cstheme="minorHAnsi"/>
          <w:sz w:val="22"/>
        </w:rPr>
        <w:t>TA assignments are determined by the background and qualifications of each student and the needs of the School of Pharmacy.</w:t>
      </w:r>
      <w:r w:rsidR="00E61784">
        <w:rPr>
          <w:rFonts w:asciiTheme="minorHAnsi" w:hAnsiTheme="minorHAnsi" w:cstheme="minorHAnsi"/>
          <w:sz w:val="22"/>
        </w:rPr>
        <w:t xml:space="preserve"> </w:t>
      </w:r>
      <w:r w:rsidRPr="001F0ED9">
        <w:rPr>
          <w:rFonts w:asciiTheme="minorHAnsi" w:hAnsiTheme="minorHAnsi" w:cstheme="minorHAnsi"/>
          <w:sz w:val="22"/>
        </w:rPr>
        <w:t>In addition, supervisors are strongly encouraged to provide additional financial support to full-time graduate students, primarily from research grants.</w:t>
      </w:r>
      <w:r w:rsidR="00E61784">
        <w:rPr>
          <w:rFonts w:asciiTheme="minorHAnsi" w:hAnsiTheme="minorHAnsi" w:cstheme="minorHAnsi"/>
          <w:sz w:val="22"/>
        </w:rPr>
        <w:t xml:space="preserve"> </w:t>
      </w:r>
      <w:r w:rsidRPr="001F0ED9">
        <w:rPr>
          <w:rFonts w:asciiTheme="minorHAnsi" w:hAnsiTheme="minorHAnsi" w:cstheme="minorHAnsi"/>
          <w:sz w:val="22"/>
        </w:rPr>
        <w:t xml:space="preserve"> Students are also encouraged to apply for graduate fellowships and scholarships.</w:t>
      </w:r>
      <w:r w:rsidR="00E61784">
        <w:rPr>
          <w:rFonts w:asciiTheme="minorHAnsi" w:hAnsiTheme="minorHAnsi" w:cstheme="minorHAnsi"/>
          <w:sz w:val="22"/>
        </w:rPr>
        <w:t xml:space="preserve"> </w:t>
      </w:r>
      <w:r w:rsidRPr="001F0ED9">
        <w:rPr>
          <w:rFonts w:asciiTheme="minorHAnsi" w:hAnsiTheme="minorHAnsi" w:cstheme="minorHAnsi"/>
          <w:sz w:val="22"/>
        </w:rPr>
        <w:t xml:space="preserve">For more information on Graduate Fellowships and Graduate Teaching Assistantships, please refer to the following </w:t>
      </w:r>
      <w:r w:rsidR="0016696A">
        <w:rPr>
          <w:rFonts w:asciiTheme="minorHAnsi" w:hAnsiTheme="minorHAnsi" w:cstheme="minorHAnsi"/>
          <w:sz w:val="22"/>
        </w:rPr>
        <w:t>document</w:t>
      </w:r>
      <w:r w:rsidRPr="001F0ED9">
        <w:rPr>
          <w:rFonts w:asciiTheme="minorHAnsi" w:hAnsiTheme="minorHAnsi" w:cstheme="minorHAnsi"/>
          <w:sz w:val="22"/>
        </w:rPr>
        <w:t xml:space="preserve">: </w:t>
      </w:r>
      <w:r w:rsidR="0016696A" w:rsidRPr="0016696A">
        <w:rPr>
          <w:rFonts w:asciiTheme="minorHAnsi" w:hAnsiTheme="minorHAnsi" w:cstheme="minorHAnsi"/>
          <w:sz w:val="22"/>
        </w:rPr>
        <w:t xml:space="preserve">Guidelines for the Awarding of SGS Baseline Fellowships and Graduate Student Support </w:t>
      </w:r>
      <w:r w:rsidRPr="001F0ED9">
        <w:rPr>
          <w:rFonts w:asciiTheme="minorHAnsi" w:hAnsiTheme="minorHAnsi" w:cstheme="minorHAnsi"/>
          <w:sz w:val="22"/>
        </w:rPr>
        <w:t>(</w:t>
      </w:r>
      <w:r w:rsidRPr="001F0ED9">
        <w:rPr>
          <w:rFonts w:asciiTheme="minorHAnsi" w:hAnsiTheme="minorHAnsi" w:cstheme="minorHAnsi"/>
          <w:color w:val="0000FF"/>
          <w:sz w:val="22"/>
          <w:u w:val="single" w:color="0000FF"/>
        </w:rPr>
        <w:t>https://www.mun.ca/sgs/support_guidelines.pdf</w:t>
      </w:r>
      <w:r w:rsidRPr="001F0ED9">
        <w:rPr>
          <w:rFonts w:asciiTheme="minorHAnsi" w:hAnsiTheme="minorHAnsi" w:cstheme="minorHAnsi"/>
          <w:sz w:val="22"/>
        </w:rPr>
        <w:t xml:space="preserve">). </w:t>
      </w:r>
    </w:p>
    <w:p w14:paraId="541D4AD7" w14:textId="04B9DF3E" w:rsidR="006E5D8F" w:rsidRDefault="00D30958" w:rsidP="008305ED">
      <w:pPr>
        <w:spacing w:after="5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69B5FD67" w14:textId="77777777" w:rsidR="00AC306C" w:rsidRPr="001F0ED9" w:rsidRDefault="00AC306C" w:rsidP="008305ED">
      <w:pPr>
        <w:spacing w:after="50" w:line="240" w:lineRule="auto"/>
        <w:ind w:left="0" w:right="15" w:firstLine="0"/>
        <w:jc w:val="left"/>
        <w:rPr>
          <w:rFonts w:asciiTheme="minorHAnsi" w:hAnsiTheme="minorHAnsi" w:cstheme="minorHAnsi"/>
          <w:sz w:val="22"/>
        </w:rPr>
      </w:pPr>
    </w:p>
    <w:p w14:paraId="02CD0DF3" w14:textId="77777777" w:rsidR="006E5D8F" w:rsidRPr="00AA5A22" w:rsidRDefault="00D30958" w:rsidP="008305ED">
      <w:pPr>
        <w:pStyle w:val="Heading1"/>
        <w:spacing w:line="240" w:lineRule="auto"/>
        <w:ind w:left="0" w:right="15"/>
        <w:rPr>
          <w:rFonts w:asciiTheme="minorHAnsi" w:hAnsiTheme="minorHAnsi" w:cstheme="minorHAnsi"/>
          <w:bCs/>
          <w:sz w:val="32"/>
          <w:szCs w:val="32"/>
        </w:rPr>
      </w:pPr>
      <w:bookmarkStart w:id="5" w:name="_Toc111554533"/>
      <w:r w:rsidRPr="00AA5A22">
        <w:rPr>
          <w:rFonts w:asciiTheme="minorHAnsi" w:hAnsiTheme="minorHAnsi" w:cstheme="minorHAnsi"/>
          <w:bCs/>
          <w:sz w:val="32"/>
          <w:szCs w:val="32"/>
        </w:rPr>
        <w:t>Guidelines for Graduate Programs in Pharmacy</w:t>
      </w:r>
      <w:bookmarkEnd w:id="5"/>
      <w:r w:rsidRPr="00AA5A22">
        <w:rPr>
          <w:rFonts w:asciiTheme="minorHAnsi" w:hAnsiTheme="minorHAnsi" w:cstheme="minorHAnsi"/>
          <w:bCs/>
          <w:sz w:val="32"/>
          <w:szCs w:val="32"/>
        </w:rPr>
        <w:t xml:space="preserve"> </w:t>
      </w:r>
    </w:p>
    <w:p w14:paraId="0F9CCFB7"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0DD947F3" w14:textId="56654E80"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The MSc and PhD degrees in the School of Pharmacy require the completion of both course work and research, including a written thesis.</w:t>
      </w:r>
      <w:r w:rsidR="00E61784">
        <w:rPr>
          <w:rFonts w:asciiTheme="minorHAnsi" w:hAnsiTheme="minorHAnsi" w:cstheme="minorHAnsi"/>
          <w:sz w:val="22"/>
        </w:rPr>
        <w:t xml:space="preserve"> </w:t>
      </w:r>
      <w:r w:rsidRPr="001F0ED9">
        <w:rPr>
          <w:rFonts w:asciiTheme="minorHAnsi" w:hAnsiTheme="minorHAnsi" w:cstheme="minorHAnsi"/>
          <w:sz w:val="22"/>
        </w:rPr>
        <w:t>In general, an MSc student is expected to spend a minimum of two years (six semesters) completing these requirements.</w:t>
      </w:r>
      <w:r w:rsidR="00E61784">
        <w:rPr>
          <w:rFonts w:asciiTheme="minorHAnsi" w:hAnsiTheme="minorHAnsi" w:cstheme="minorHAnsi"/>
          <w:sz w:val="22"/>
        </w:rPr>
        <w:t xml:space="preserve"> </w:t>
      </w:r>
      <w:r w:rsidRPr="001F0ED9">
        <w:rPr>
          <w:rFonts w:asciiTheme="minorHAnsi" w:hAnsiTheme="minorHAnsi" w:cstheme="minorHAnsi"/>
          <w:sz w:val="22"/>
        </w:rPr>
        <w:t>A PhD student is expected to spend a minimum of four years (12 semesters) to complete the</w:t>
      </w:r>
      <w:r w:rsidR="0016696A">
        <w:rPr>
          <w:rFonts w:asciiTheme="minorHAnsi" w:hAnsiTheme="minorHAnsi" w:cstheme="minorHAnsi"/>
          <w:sz w:val="22"/>
        </w:rPr>
        <w:t>se</w:t>
      </w:r>
      <w:r w:rsidRPr="001F0ED9">
        <w:rPr>
          <w:rFonts w:asciiTheme="minorHAnsi" w:hAnsiTheme="minorHAnsi" w:cstheme="minorHAnsi"/>
          <w:sz w:val="22"/>
        </w:rPr>
        <w:t xml:space="preserve"> </w:t>
      </w:r>
      <w:r w:rsidR="0016696A">
        <w:rPr>
          <w:rFonts w:asciiTheme="minorHAnsi" w:hAnsiTheme="minorHAnsi" w:cstheme="minorHAnsi"/>
          <w:sz w:val="22"/>
        </w:rPr>
        <w:t>r</w:t>
      </w:r>
      <w:r w:rsidRPr="001F0ED9">
        <w:rPr>
          <w:rFonts w:asciiTheme="minorHAnsi" w:hAnsiTheme="minorHAnsi" w:cstheme="minorHAnsi"/>
          <w:sz w:val="22"/>
        </w:rPr>
        <w:t xml:space="preserve">equirements, in addition to successfully passing a comprehensive examination and oral </w:t>
      </w:r>
      <w:r w:rsidR="0016696A" w:rsidRPr="001F0ED9">
        <w:rPr>
          <w:rFonts w:asciiTheme="minorHAnsi" w:hAnsiTheme="minorHAnsi" w:cstheme="minorHAnsi"/>
          <w:sz w:val="22"/>
        </w:rPr>
        <w:t>defen</w:t>
      </w:r>
      <w:r w:rsidR="0016696A">
        <w:rPr>
          <w:rFonts w:asciiTheme="minorHAnsi" w:hAnsiTheme="minorHAnsi" w:cstheme="minorHAnsi"/>
          <w:sz w:val="22"/>
        </w:rPr>
        <w:t>s</w:t>
      </w:r>
      <w:r w:rsidR="0016696A" w:rsidRPr="001F0ED9">
        <w:rPr>
          <w:rFonts w:asciiTheme="minorHAnsi" w:hAnsiTheme="minorHAnsi" w:cstheme="minorHAnsi"/>
          <w:sz w:val="22"/>
        </w:rPr>
        <w:t>e</w:t>
      </w:r>
      <w:r w:rsidRPr="001F0ED9">
        <w:rPr>
          <w:rFonts w:asciiTheme="minorHAnsi" w:hAnsiTheme="minorHAnsi" w:cstheme="minorHAnsi"/>
          <w:sz w:val="22"/>
        </w:rPr>
        <w:t xml:space="preserve">. </w:t>
      </w:r>
    </w:p>
    <w:p w14:paraId="63A9DCB0" w14:textId="77777777" w:rsidR="006E5D8F" w:rsidRPr="001F0ED9" w:rsidRDefault="00D30958" w:rsidP="008305ED">
      <w:pPr>
        <w:spacing w:after="16"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19C93104" w14:textId="46447B1F" w:rsidR="006E5D8F" w:rsidRPr="00AC306C" w:rsidRDefault="00D30958" w:rsidP="00AC306C">
      <w:pPr>
        <w:pStyle w:val="Heading4"/>
        <w:spacing w:line="240" w:lineRule="auto"/>
        <w:ind w:left="-5" w:right="15"/>
        <w:rPr>
          <w:rFonts w:asciiTheme="minorHAnsi" w:hAnsiTheme="minorHAnsi" w:cstheme="minorHAnsi"/>
          <w:i w:val="0"/>
          <w:iCs/>
          <w:sz w:val="24"/>
          <w:szCs w:val="24"/>
        </w:rPr>
      </w:pPr>
      <w:r w:rsidRPr="00AC306C">
        <w:rPr>
          <w:rFonts w:asciiTheme="minorHAnsi" w:hAnsiTheme="minorHAnsi" w:cstheme="minorHAnsi"/>
          <w:i w:val="0"/>
          <w:iCs/>
          <w:sz w:val="24"/>
          <w:szCs w:val="24"/>
        </w:rPr>
        <w:t xml:space="preserve">Graduate Supervisor </w:t>
      </w:r>
    </w:p>
    <w:p w14:paraId="566A1EB9" w14:textId="078165E9" w:rsidR="006E5D8F" w:rsidRPr="001F0ED9" w:rsidRDefault="00D30958" w:rsidP="00AC306C">
      <w:pPr>
        <w:spacing w:line="240" w:lineRule="auto"/>
        <w:ind w:left="-5" w:right="15"/>
        <w:jc w:val="left"/>
        <w:rPr>
          <w:rFonts w:asciiTheme="minorHAnsi" w:hAnsiTheme="minorHAnsi" w:cstheme="minorHAnsi"/>
          <w:sz w:val="22"/>
        </w:rPr>
      </w:pPr>
      <w:r w:rsidRPr="00E61784">
        <w:rPr>
          <w:rFonts w:asciiTheme="minorHAnsi" w:hAnsiTheme="minorHAnsi" w:cstheme="minorHAnsi"/>
          <w:sz w:val="22"/>
        </w:rPr>
        <w:t xml:space="preserve">All graduate students are assigned a graduate supervisor based on </w:t>
      </w:r>
      <w:r w:rsidR="0016696A" w:rsidRPr="00E61784">
        <w:rPr>
          <w:rFonts w:asciiTheme="minorHAnsi" w:hAnsiTheme="minorHAnsi" w:cstheme="minorHAnsi"/>
          <w:sz w:val="22"/>
        </w:rPr>
        <w:t xml:space="preserve">the </w:t>
      </w:r>
      <w:r w:rsidRPr="00E61784">
        <w:rPr>
          <w:rFonts w:asciiTheme="minorHAnsi" w:hAnsiTheme="minorHAnsi" w:cstheme="minorHAnsi"/>
          <w:sz w:val="22"/>
        </w:rPr>
        <w:t xml:space="preserve">recommendation of the Graduate Studies </w:t>
      </w:r>
      <w:r w:rsidR="0016696A" w:rsidRPr="00E61784">
        <w:rPr>
          <w:rFonts w:asciiTheme="minorHAnsi" w:hAnsiTheme="minorHAnsi" w:cstheme="minorHAnsi"/>
          <w:sz w:val="22"/>
        </w:rPr>
        <w:t xml:space="preserve">&amp; </w:t>
      </w:r>
      <w:r w:rsidRPr="00E61784">
        <w:rPr>
          <w:rFonts w:asciiTheme="minorHAnsi" w:hAnsiTheme="minorHAnsi" w:cstheme="minorHAnsi"/>
          <w:sz w:val="22"/>
        </w:rPr>
        <w:t>Research Committee of the School of Pharmacy and approval of the Dean of the School of Pharmacy and the Dean of the School of Graduate Studies</w:t>
      </w:r>
      <w:r w:rsidRPr="001F0ED9">
        <w:rPr>
          <w:rFonts w:asciiTheme="minorHAnsi" w:hAnsiTheme="minorHAnsi" w:cstheme="minorHAnsi"/>
          <w:sz w:val="22"/>
        </w:rPr>
        <w:t>.</w:t>
      </w:r>
      <w:r w:rsidR="00E61784">
        <w:rPr>
          <w:rFonts w:asciiTheme="minorHAnsi" w:hAnsiTheme="minorHAnsi" w:cstheme="minorHAnsi"/>
          <w:sz w:val="22"/>
        </w:rPr>
        <w:t xml:space="preserve"> </w:t>
      </w:r>
      <w:r w:rsidRPr="001F0ED9">
        <w:rPr>
          <w:rFonts w:asciiTheme="minorHAnsi" w:hAnsiTheme="minorHAnsi" w:cstheme="minorHAnsi"/>
          <w:sz w:val="22"/>
        </w:rPr>
        <w:t>A graduate supervisor</w:t>
      </w:r>
      <w:r w:rsidR="0016696A">
        <w:rPr>
          <w:rFonts w:asciiTheme="minorHAnsi" w:hAnsiTheme="minorHAnsi" w:cstheme="minorHAnsi"/>
          <w:sz w:val="22"/>
        </w:rPr>
        <w:t xml:space="preserve"> must</w:t>
      </w:r>
      <w:r w:rsidRPr="001F0ED9">
        <w:rPr>
          <w:rFonts w:asciiTheme="minorHAnsi" w:hAnsiTheme="minorHAnsi" w:cstheme="minorHAnsi"/>
          <w:sz w:val="22"/>
        </w:rPr>
        <w:t xml:space="preserve">: </w:t>
      </w:r>
    </w:p>
    <w:p w14:paraId="402988DB"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147417BF" w14:textId="45C394E6" w:rsidR="006E5D8F" w:rsidRPr="004B755D"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4B755D">
        <w:rPr>
          <w:rFonts w:asciiTheme="minorHAnsi" w:hAnsiTheme="minorHAnsi" w:cstheme="minorHAnsi"/>
          <w:sz w:val="22"/>
        </w:rPr>
        <w:t>recommend a Supervisory Committee to the Dean of the School of Pharmacy for</w:t>
      </w:r>
      <w:r w:rsidR="0016696A" w:rsidRPr="004B755D">
        <w:rPr>
          <w:rFonts w:asciiTheme="minorHAnsi" w:hAnsiTheme="minorHAnsi" w:cstheme="minorHAnsi"/>
          <w:sz w:val="22"/>
        </w:rPr>
        <w:t xml:space="preserve"> </w:t>
      </w:r>
      <w:r w:rsidRPr="004B755D">
        <w:rPr>
          <w:rFonts w:asciiTheme="minorHAnsi" w:hAnsiTheme="minorHAnsi" w:cstheme="minorHAnsi"/>
          <w:sz w:val="22"/>
        </w:rPr>
        <w:t xml:space="preserve">submission to the Dean of the School of Graduate Studies prior to admission; </w:t>
      </w:r>
    </w:p>
    <w:p w14:paraId="44BFBA3A" w14:textId="77777777" w:rsidR="006E5D8F" w:rsidRPr="001F0ED9" w:rsidRDefault="00D30958" w:rsidP="00A962C4">
      <w:pPr>
        <w:spacing w:after="0"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 </w:t>
      </w:r>
    </w:p>
    <w:p w14:paraId="0A58139F" w14:textId="2651D7D1"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set up a provisional academic program in consultation with the Supervisory Committee and the student; </w:t>
      </w:r>
    </w:p>
    <w:p w14:paraId="6FF5785A" w14:textId="77777777" w:rsidR="006E5D8F" w:rsidRPr="004B755D" w:rsidRDefault="00D30958" w:rsidP="00A962C4">
      <w:pPr>
        <w:spacing w:line="240" w:lineRule="auto"/>
        <w:ind w:left="709" w:right="15" w:hanging="425"/>
        <w:jc w:val="left"/>
        <w:rPr>
          <w:rFonts w:asciiTheme="minorHAnsi" w:hAnsiTheme="minorHAnsi" w:cstheme="minorHAnsi"/>
          <w:sz w:val="22"/>
        </w:rPr>
      </w:pPr>
      <w:r w:rsidRPr="004B755D">
        <w:rPr>
          <w:rFonts w:asciiTheme="minorHAnsi" w:hAnsiTheme="minorHAnsi" w:cstheme="minorHAnsi"/>
          <w:sz w:val="22"/>
        </w:rPr>
        <w:t xml:space="preserve"> </w:t>
      </w:r>
    </w:p>
    <w:p w14:paraId="3716FA60" w14:textId="585D441A"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assign a thesis topic in consultation with the student; </w:t>
      </w:r>
    </w:p>
    <w:p w14:paraId="078FFB16" w14:textId="77777777" w:rsidR="006E5D8F" w:rsidRPr="004B755D" w:rsidRDefault="00D30958" w:rsidP="00A962C4">
      <w:pPr>
        <w:spacing w:line="240" w:lineRule="auto"/>
        <w:ind w:left="709" w:right="15" w:hanging="425"/>
        <w:jc w:val="left"/>
        <w:rPr>
          <w:rFonts w:asciiTheme="minorHAnsi" w:hAnsiTheme="minorHAnsi" w:cstheme="minorHAnsi"/>
          <w:sz w:val="22"/>
        </w:rPr>
      </w:pPr>
      <w:r w:rsidRPr="004B755D">
        <w:rPr>
          <w:rFonts w:asciiTheme="minorHAnsi" w:hAnsiTheme="minorHAnsi" w:cstheme="minorHAnsi"/>
          <w:sz w:val="22"/>
        </w:rPr>
        <w:t xml:space="preserve"> </w:t>
      </w:r>
    </w:p>
    <w:p w14:paraId="39A03609" w14:textId="66EAB570"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become familiar with </w:t>
      </w:r>
      <w:r w:rsidR="0016696A">
        <w:rPr>
          <w:rFonts w:asciiTheme="minorHAnsi" w:hAnsiTheme="minorHAnsi" w:cstheme="minorHAnsi"/>
          <w:sz w:val="22"/>
        </w:rPr>
        <w:t xml:space="preserve">the </w:t>
      </w:r>
      <w:r w:rsidRPr="001F0ED9">
        <w:rPr>
          <w:rFonts w:asciiTheme="minorHAnsi" w:hAnsiTheme="minorHAnsi" w:cstheme="minorHAnsi"/>
          <w:sz w:val="22"/>
        </w:rPr>
        <w:t>regulations of the School of Graduate Studies and the School</w:t>
      </w:r>
      <w:r w:rsidR="0016696A">
        <w:rPr>
          <w:rFonts w:asciiTheme="minorHAnsi" w:hAnsiTheme="minorHAnsi" w:cstheme="minorHAnsi"/>
          <w:sz w:val="22"/>
        </w:rPr>
        <w:t xml:space="preserve"> </w:t>
      </w:r>
      <w:r w:rsidRPr="001F0ED9">
        <w:rPr>
          <w:rFonts w:asciiTheme="minorHAnsi" w:hAnsiTheme="minorHAnsi" w:cstheme="minorHAnsi"/>
          <w:sz w:val="22"/>
        </w:rPr>
        <w:t>of Pharmacy; be updated of any changes that may affect their students, and make sure</w:t>
      </w:r>
      <w:r w:rsidR="0016696A">
        <w:rPr>
          <w:rFonts w:asciiTheme="minorHAnsi" w:hAnsiTheme="minorHAnsi" w:cstheme="minorHAnsi"/>
          <w:sz w:val="22"/>
        </w:rPr>
        <w:t xml:space="preserve"> </w:t>
      </w:r>
      <w:r w:rsidRPr="001F0ED9">
        <w:rPr>
          <w:rFonts w:asciiTheme="minorHAnsi" w:hAnsiTheme="minorHAnsi" w:cstheme="minorHAnsi"/>
          <w:sz w:val="22"/>
        </w:rPr>
        <w:t xml:space="preserve">that students are informed of these regulations; </w:t>
      </w:r>
    </w:p>
    <w:p w14:paraId="5245D634" w14:textId="77777777" w:rsidR="006E5D8F" w:rsidRPr="004B755D" w:rsidRDefault="00D30958" w:rsidP="00A962C4">
      <w:pPr>
        <w:spacing w:line="240" w:lineRule="auto"/>
        <w:ind w:left="709" w:right="15" w:hanging="425"/>
        <w:jc w:val="left"/>
        <w:rPr>
          <w:rFonts w:asciiTheme="minorHAnsi" w:hAnsiTheme="minorHAnsi" w:cstheme="minorHAnsi"/>
          <w:sz w:val="22"/>
        </w:rPr>
      </w:pPr>
      <w:r w:rsidRPr="004B755D">
        <w:rPr>
          <w:rFonts w:asciiTheme="minorHAnsi" w:hAnsiTheme="minorHAnsi" w:cstheme="minorHAnsi"/>
          <w:sz w:val="22"/>
        </w:rPr>
        <w:t xml:space="preserve"> </w:t>
      </w:r>
    </w:p>
    <w:p w14:paraId="5C37680C" w14:textId="6B66B46B"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ensure that the student has access to academic, financial, and other necessary</w:t>
      </w:r>
      <w:r w:rsidR="004D47CF">
        <w:rPr>
          <w:rFonts w:asciiTheme="minorHAnsi" w:hAnsiTheme="minorHAnsi" w:cstheme="minorHAnsi"/>
          <w:sz w:val="22"/>
        </w:rPr>
        <w:t xml:space="preserve"> </w:t>
      </w:r>
      <w:r w:rsidRPr="001F0ED9">
        <w:rPr>
          <w:rFonts w:asciiTheme="minorHAnsi" w:hAnsiTheme="minorHAnsi" w:cstheme="minorHAnsi"/>
          <w:sz w:val="22"/>
        </w:rPr>
        <w:t xml:space="preserve">resources; </w:t>
      </w:r>
    </w:p>
    <w:p w14:paraId="549F886C" w14:textId="77777777" w:rsidR="006E5D8F" w:rsidRPr="004B755D" w:rsidRDefault="00D30958" w:rsidP="00A962C4">
      <w:pPr>
        <w:spacing w:line="240" w:lineRule="auto"/>
        <w:ind w:left="709" w:right="15" w:hanging="425"/>
        <w:jc w:val="left"/>
        <w:rPr>
          <w:rFonts w:asciiTheme="minorHAnsi" w:hAnsiTheme="minorHAnsi" w:cstheme="minorHAnsi"/>
          <w:sz w:val="22"/>
        </w:rPr>
      </w:pPr>
      <w:r w:rsidRPr="004B755D">
        <w:rPr>
          <w:rFonts w:asciiTheme="minorHAnsi" w:hAnsiTheme="minorHAnsi" w:cstheme="minorHAnsi"/>
          <w:sz w:val="22"/>
        </w:rPr>
        <w:t xml:space="preserve"> </w:t>
      </w:r>
    </w:p>
    <w:p w14:paraId="07417EF0" w14:textId="4A6B2195"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initiate regular meetings with the student to ensure a steady progress in his/her</w:t>
      </w:r>
      <w:r w:rsidR="004D47CF">
        <w:rPr>
          <w:rFonts w:asciiTheme="minorHAnsi" w:hAnsiTheme="minorHAnsi" w:cstheme="minorHAnsi"/>
          <w:sz w:val="22"/>
        </w:rPr>
        <w:t xml:space="preserve"> </w:t>
      </w:r>
      <w:r w:rsidRPr="001F0ED9">
        <w:rPr>
          <w:rFonts w:asciiTheme="minorHAnsi" w:hAnsiTheme="minorHAnsi" w:cstheme="minorHAnsi"/>
          <w:sz w:val="22"/>
        </w:rPr>
        <w:t>academic program;  organize meetings of the student’s supervisory committee</w:t>
      </w:r>
      <w:r w:rsidR="004D47CF">
        <w:rPr>
          <w:rFonts w:asciiTheme="minorHAnsi" w:hAnsiTheme="minorHAnsi" w:cstheme="minorHAnsi"/>
          <w:sz w:val="22"/>
        </w:rPr>
        <w:t xml:space="preserve"> </w:t>
      </w:r>
      <w:r w:rsidRPr="001F0ED9">
        <w:rPr>
          <w:rFonts w:asciiTheme="minorHAnsi" w:hAnsiTheme="minorHAnsi" w:cstheme="minorHAnsi"/>
          <w:sz w:val="22"/>
        </w:rPr>
        <w:t>at least once a year;</w:t>
      </w:r>
      <w:r w:rsidR="004D47CF">
        <w:rPr>
          <w:rFonts w:asciiTheme="minorHAnsi" w:hAnsiTheme="minorHAnsi" w:cstheme="minorHAnsi"/>
          <w:sz w:val="22"/>
        </w:rPr>
        <w:t xml:space="preserve"> </w:t>
      </w:r>
      <w:r w:rsidRPr="001F0ED9">
        <w:rPr>
          <w:rFonts w:asciiTheme="minorHAnsi" w:hAnsiTheme="minorHAnsi" w:cstheme="minorHAnsi"/>
          <w:sz w:val="22"/>
        </w:rPr>
        <w:t>assess the student’s progress, and to submit to the School of</w:t>
      </w:r>
      <w:r w:rsidR="004D47CF">
        <w:rPr>
          <w:rFonts w:asciiTheme="minorHAnsi" w:hAnsiTheme="minorHAnsi" w:cstheme="minorHAnsi"/>
          <w:sz w:val="22"/>
        </w:rPr>
        <w:t xml:space="preserve"> </w:t>
      </w:r>
      <w:r w:rsidRPr="001F0ED9">
        <w:rPr>
          <w:rFonts w:asciiTheme="minorHAnsi" w:hAnsiTheme="minorHAnsi" w:cstheme="minorHAnsi"/>
          <w:sz w:val="22"/>
        </w:rPr>
        <w:t>Graduate Studies an annual detailed Supervisory report for each student under thei</w:t>
      </w:r>
      <w:r w:rsidR="004D47CF">
        <w:rPr>
          <w:rFonts w:asciiTheme="minorHAnsi" w:hAnsiTheme="minorHAnsi" w:cstheme="minorHAnsi"/>
          <w:sz w:val="22"/>
        </w:rPr>
        <w:t>r</w:t>
      </w:r>
      <w:r w:rsidRPr="001F0ED9">
        <w:rPr>
          <w:rFonts w:asciiTheme="minorHAnsi" w:hAnsiTheme="minorHAnsi" w:cstheme="minorHAnsi"/>
          <w:sz w:val="22"/>
        </w:rPr>
        <w:t xml:space="preserve"> supervision; </w:t>
      </w:r>
    </w:p>
    <w:p w14:paraId="76AF7FA5" w14:textId="77777777" w:rsidR="006E5D8F" w:rsidRPr="004B755D" w:rsidRDefault="00D30958" w:rsidP="00A962C4">
      <w:pPr>
        <w:spacing w:line="240" w:lineRule="auto"/>
        <w:ind w:left="709" w:right="15" w:hanging="425"/>
        <w:jc w:val="left"/>
        <w:rPr>
          <w:rFonts w:asciiTheme="minorHAnsi" w:hAnsiTheme="minorHAnsi" w:cstheme="minorHAnsi"/>
          <w:sz w:val="22"/>
        </w:rPr>
      </w:pPr>
      <w:r w:rsidRPr="004B755D">
        <w:rPr>
          <w:rFonts w:asciiTheme="minorHAnsi" w:hAnsiTheme="minorHAnsi" w:cstheme="minorHAnsi"/>
          <w:sz w:val="22"/>
        </w:rPr>
        <w:t xml:space="preserve"> </w:t>
      </w:r>
    </w:p>
    <w:p w14:paraId="45C0E191" w14:textId="3DB28C25"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ensure that students are provided with constructive suggestions regarding their</w:t>
      </w:r>
      <w:r w:rsidR="004D47CF">
        <w:rPr>
          <w:rFonts w:asciiTheme="minorHAnsi" w:hAnsiTheme="minorHAnsi" w:cstheme="minorHAnsi"/>
          <w:sz w:val="22"/>
        </w:rPr>
        <w:t xml:space="preserve"> </w:t>
      </w:r>
      <w:r w:rsidRPr="001F0ED9">
        <w:rPr>
          <w:rFonts w:asciiTheme="minorHAnsi" w:hAnsiTheme="minorHAnsi" w:cstheme="minorHAnsi"/>
          <w:sz w:val="22"/>
        </w:rPr>
        <w:t xml:space="preserve">thesis work and alert them </w:t>
      </w:r>
      <w:r w:rsidR="0055448E">
        <w:rPr>
          <w:rFonts w:asciiTheme="minorHAnsi" w:hAnsiTheme="minorHAnsi" w:cstheme="minorHAnsi"/>
          <w:sz w:val="22"/>
        </w:rPr>
        <w:t>promptly</w:t>
      </w:r>
      <w:r w:rsidR="004D47CF" w:rsidRPr="001F0ED9">
        <w:rPr>
          <w:rFonts w:asciiTheme="minorHAnsi" w:hAnsiTheme="minorHAnsi" w:cstheme="minorHAnsi"/>
          <w:sz w:val="22"/>
        </w:rPr>
        <w:t xml:space="preserve"> </w:t>
      </w:r>
      <w:r w:rsidRPr="001F0ED9">
        <w:rPr>
          <w:rFonts w:asciiTheme="minorHAnsi" w:hAnsiTheme="minorHAnsi" w:cstheme="minorHAnsi"/>
          <w:sz w:val="22"/>
        </w:rPr>
        <w:t>to any perceived difficulties their work is likely to</w:t>
      </w:r>
      <w:r w:rsidR="004D47CF">
        <w:rPr>
          <w:rFonts w:asciiTheme="minorHAnsi" w:hAnsiTheme="minorHAnsi" w:cstheme="minorHAnsi"/>
          <w:sz w:val="22"/>
        </w:rPr>
        <w:t xml:space="preserve"> </w:t>
      </w:r>
      <w:r w:rsidRPr="001F0ED9">
        <w:rPr>
          <w:rFonts w:asciiTheme="minorHAnsi" w:hAnsiTheme="minorHAnsi" w:cstheme="minorHAnsi"/>
          <w:sz w:val="22"/>
        </w:rPr>
        <w:t xml:space="preserve">encounter; </w:t>
      </w:r>
    </w:p>
    <w:p w14:paraId="139A3EA3" w14:textId="77777777" w:rsidR="006E5D8F" w:rsidRPr="004B755D" w:rsidRDefault="00D30958" w:rsidP="008305ED">
      <w:pPr>
        <w:spacing w:line="240" w:lineRule="auto"/>
        <w:ind w:left="120" w:right="15" w:firstLine="0"/>
        <w:jc w:val="left"/>
        <w:rPr>
          <w:rFonts w:asciiTheme="minorHAnsi" w:hAnsiTheme="minorHAnsi" w:cstheme="minorHAnsi"/>
          <w:sz w:val="22"/>
        </w:rPr>
      </w:pPr>
      <w:r w:rsidRPr="004B755D">
        <w:rPr>
          <w:rFonts w:asciiTheme="minorHAnsi" w:hAnsiTheme="minorHAnsi" w:cstheme="minorHAnsi"/>
          <w:sz w:val="22"/>
        </w:rPr>
        <w:t xml:space="preserve"> </w:t>
      </w:r>
    </w:p>
    <w:p w14:paraId="1F61A738" w14:textId="77EA586F"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make arrangement</w:t>
      </w:r>
      <w:r w:rsidR="004D47CF">
        <w:rPr>
          <w:rFonts w:asciiTheme="minorHAnsi" w:hAnsiTheme="minorHAnsi" w:cstheme="minorHAnsi"/>
          <w:sz w:val="22"/>
        </w:rPr>
        <w:t>s</w:t>
      </w:r>
      <w:r w:rsidRPr="001F0ED9">
        <w:rPr>
          <w:rFonts w:asciiTheme="minorHAnsi" w:hAnsiTheme="minorHAnsi" w:cstheme="minorHAnsi"/>
          <w:sz w:val="22"/>
        </w:rPr>
        <w:t xml:space="preserve"> for advising and supervising students when planning to be</w:t>
      </w:r>
      <w:r w:rsidR="004D47CF">
        <w:rPr>
          <w:rFonts w:asciiTheme="minorHAnsi" w:hAnsiTheme="minorHAnsi" w:cstheme="minorHAnsi"/>
          <w:sz w:val="22"/>
        </w:rPr>
        <w:t xml:space="preserve"> </w:t>
      </w:r>
      <w:r w:rsidRPr="001F0ED9">
        <w:rPr>
          <w:rFonts w:asciiTheme="minorHAnsi" w:hAnsiTheme="minorHAnsi" w:cstheme="minorHAnsi"/>
          <w:sz w:val="22"/>
        </w:rPr>
        <w:t>away from their office for an extended period.</w:t>
      </w:r>
      <w:r w:rsidR="00E61784">
        <w:rPr>
          <w:rFonts w:asciiTheme="minorHAnsi" w:hAnsiTheme="minorHAnsi" w:cstheme="minorHAnsi"/>
          <w:sz w:val="22"/>
        </w:rPr>
        <w:t xml:space="preserve"> </w:t>
      </w:r>
      <w:r w:rsidRPr="001F0ED9">
        <w:rPr>
          <w:rFonts w:asciiTheme="minorHAnsi" w:hAnsiTheme="minorHAnsi" w:cstheme="minorHAnsi"/>
          <w:sz w:val="22"/>
        </w:rPr>
        <w:t xml:space="preserve"> Such arrangements should be acceptable</w:t>
      </w:r>
      <w:r w:rsidR="004D47CF">
        <w:rPr>
          <w:rFonts w:asciiTheme="minorHAnsi" w:hAnsiTheme="minorHAnsi" w:cstheme="minorHAnsi"/>
          <w:sz w:val="22"/>
        </w:rPr>
        <w:t xml:space="preserve"> </w:t>
      </w:r>
      <w:r w:rsidRPr="001F0ED9">
        <w:rPr>
          <w:rFonts w:asciiTheme="minorHAnsi" w:hAnsiTheme="minorHAnsi" w:cstheme="minorHAnsi"/>
          <w:sz w:val="22"/>
        </w:rPr>
        <w:t xml:space="preserve">to the students and the Dean of the School of Pharmacy; </w:t>
      </w:r>
    </w:p>
    <w:p w14:paraId="0058C512" w14:textId="77777777" w:rsidR="006E5D8F" w:rsidRPr="004B755D" w:rsidRDefault="00D30958" w:rsidP="008305ED">
      <w:pPr>
        <w:spacing w:line="240" w:lineRule="auto"/>
        <w:ind w:left="120" w:right="15" w:firstLine="0"/>
        <w:jc w:val="left"/>
        <w:rPr>
          <w:rFonts w:asciiTheme="minorHAnsi" w:hAnsiTheme="minorHAnsi" w:cstheme="minorHAnsi"/>
          <w:sz w:val="22"/>
        </w:rPr>
      </w:pPr>
      <w:r w:rsidRPr="004B755D">
        <w:rPr>
          <w:rFonts w:asciiTheme="minorHAnsi" w:hAnsiTheme="minorHAnsi" w:cstheme="minorHAnsi"/>
          <w:sz w:val="22"/>
        </w:rPr>
        <w:lastRenderedPageBreak/>
        <w:t xml:space="preserve"> </w:t>
      </w:r>
    </w:p>
    <w:p w14:paraId="688D0014" w14:textId="53B8D0F0" w:rsid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recommend members of the Thesis Examination Committee to the Dean of</w:t>
      </w:r>
      <w:r w:rsidR="004D47CF">
        <w:rPr>
          <w:rFonts w:asciiTheme="minorHAnsi" w:hAnsiTheme="minorHAnsi" w:cstheme="minorHAnsi"/>
          <w:sz w:val="22"/>
        </w:rPr>
        <w:t xml:space="preserve"> </w:t>
      </w:r>
      <w:r w:rsidRPr="001F0ED9">
        <w:rPr>
          <w:rFonts w:asciiTheme="minorHAnsi" w:hAnsiTheme="minorHAnsi" w:cstheme="minorHAnsi"/>
          <w:sz w:val="22"/>
        </w:rPr>
        <w:t xml:space="preserve">the School of Pharmacy for submission to the Dean of Graduate Studies; </w:t>
      </w:r>
    </w:p>
    <w:p w14:paraId="0448F67B" w14:textId="77777777" w:rsidR="001F0ED9" w:rsidRPr="004B755D" w:rsidRDefault="001F0ED9" w:rsidP="00A962C4">
      <w:pPr>
        <w:spacing w:line="240" w:lineRule="auto"/>
        <w:ind w:left="709" w:right="15" w:hanging="425"/>
        <w:jc w:val="left"/>
        <w:rPr>
          <w:rFonts w:asciiTheme="minorHAnsi" w:hAnsiTheme="minorHAnsi" w:cstheme="minorHAnsi"/>
          <w:sz w:val="22"/>
        </w:rPr>
      </w:pPr>
    </w:p>
    <w:p w14:paraId="7E248E2B" w14:textId="6E9AE810" w:rsidR="006E5D8F" w:rsidRPr="001F0ED9" w:rsidRDefault="00D30958" w:rsidP="00A962C4">
      <w:pPr>
        <w:pStyle w:val="ListParagraph"/>
        <w:numPr>
          <w:ilvl w:val="0"/>
          <w:numId w:val="2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make recommendations for the PhD comprehensive examination to the Associate</w:t>
      </w:r>
      <w:r w:rsidR="004D47CF">
        <w:rPr>
          <w:rFonts w:asciiTheme="minorHAnsi" w:hAnsiTheme="minorHAnsi" w:cstheme="minorHAnsi"/>
          <w:sz w:val="22"/>
        </w:rPr>
        <w:t xml:space="preserve"> </w:t>
      </w:r>
      <w:r w:rsidRPr="001F0ED9">
        <w:rPr>
          <w:rFonts w:asciiTheme="minorHAnsi" w:hAnsiTheme="minorHAnsi" w:cstheme="minorHAnsi"/>
          <w:sz w:val="22"/>
        </w:rPr>
        <w:t xml:space="preserve">Dean of Graduate Studies </w:t>
      </w:r>
      <w:r w:rsidR="004D47CF">
        <w:rPr>
          <w:rFonts w:asciiTheme="minorHAnsi" w:hAnsiTheme="minorHAnsi" w:cstheme="minorHAnsi"/>
          <w:sz w:val="22"/>
        </w:rPr>
        <w:t>&amp;</w:t>
      </w:r>
      <w:r w:rsidR="004D47CF" w:rsidRPr="001F0ED9">
        <w:rPr>
          <w:rFonts w:asciiTheme="minorHAnsi" w:hAnsiTheme="minorHAnsi" w:cstheme="minorHAnsi"/>
          <w:sz w:val="22"/>
        </w:rPr>
        <w:t xml:space="preserve"> </w:t>
      </w:r>
      <w:r w:rsidRPr="001F0ED9">
        <w:rPr>
          <w:rFonts w:asciiTheme="minorHAnsi" w:hAnsiTheme="minorHAnsi" w:cstheme="minorHAnsi"/>
          <w:sz w:val="22"/>
        </w:rPr>
        <w:t>Research at the School of Pharmacy in consultation</w:t>
      </w:r>
      <w:r w:rsidR="004D47CF">
        <w:rPr>
          <w:rFonts w:asciiTheme="minorHAnsi" w:hAnsiTheme="minorHAnsi" w:cstheme="minorHAnsi"/>
          <w:sz w:val="22"/>
        </w:rPr>
        <w:t xml:space="preserve"> </w:t>
      </w:r>
      <w:r w:rsidRPr="001F0ED9">
        <w:rPr>
          <w:rFonts w:asciiTheme="minorHAnsi" w:hAnsiTheme="minorHAnsi" w:cstheme="minorHAnsi"/>
          <w:sz w:val="22"/>
        </w:rPr>
        <w:t xml:space="preserve">with the Supervisory Committee. </w:t>
      </w:r>
    </w:p>
    <w:p w14:paraId="5B6EFE62" w14:textId="77777777" w:rsidR="006E5D8F" w:rsidRPr="004B755D" w:rsidRDefault="00D30958" w:rsidP="008305ED">
      <w:pPr>
        <w:spacing w:line="240" w:lineRule="auto"/>
        <w:ind w:left="120" w:right="15" w:firstLine="0"/>
        <w:jc w:val="left"/>
        <w:rPr>
          <w:rFonts w:asciiTheme="minorHAnsi" w:hAnsiTheme="minorHAnsi" w:cstheme="minorHAnsi"/>
          <w:sz w:val="22"/>
        </w:rPr>
      </w:pPr>
      <w:r w:rsidRPr="004B755D">
        <w:rPr>
          <w:rFonts w:asciiTheme="minorHAnsi" w:hAnsiTheme="minorHAnsi" w:cstheme="minorHAnsi"/>
          <w:sz w:val="22"/>
        </w:rPr>
        <w:t xml:space="preserve"> </w:t>
      </w:r>
    </w:p>
    <w:p w14:paraId="4C21CBB2"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47903A30" w14:textId="4678844C"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In addition, </w:t>
      </w:r>
      <w:r w:rsidR="007A2BD9">
        <w:rPr>
          <w:rFonts w:asciiTheme="minorHAnsi" w:hAnsiTheme="minorHAnsi" w:cstheme="minorHAnsi"/>
          <w:sz w:val="22"/>
        </w:rPr>
        <w:t>s</w:t>
      </w:r>
      <w:r w:rsidR="007A2BD9" w:rsidRPr="001F0ED9">
        <w:rPr>
          <w:rFonts w:asciiTheme="minorHAnsi" w:hAnsiTheme="minorHAnsi" w:cstheme="minorHAnsi"/>
          <w:sz w:val="22"/>
        </w:rPr>
        <w:t xml:space="preserve">upervisors </w:t>
      </w:r>
      <w:r w:rsidRPr="001F0ED9">
        <w:rPr>
          <w:rFonts w:asciiTheme="minorHAnsi" w:hAnsiTheme="minorHAnsi" w:cstheme="minorHAnsi"/>
          <w:sz w:val="22"/>
        </w:rPr>
        <w:t xml:space="preserve">should be familiar with the responsibilities delineated and approved by the Academic Council of the School of Graduate Studies (see </w:t>
      </w:r>
      <w:r w:rsidRPr="001F0ED9">
        <w:rPr>
          <w:rFonts w:asciiTheme="minorHAnsi" w:hAnsiTheme="minorHAnsi" w:cstheme="minorHAnsi"/>
          <w:color w:val="0000FF"/>
          <w:sz w:val="22"/>
          <w:u w:val="single" w:color="0000FF"/>
        </w:rPr>
        <w:t>http://www.mun.ca/sgs/responsibilities.pdf</w:t>
      </w:r>
      <w:r w:rsidRPr="001F0ED9">
        <w:rPr>
          <w:rFonts w:asciiTheme="minorHAnsi" w:hAnsiTheme="minorHAnsi" w:cstheme="minorHAnsi"/>
          <w:sz w:val="22"/>
        </w:rPr>
        <w:t xml:space="preserve">). </w:t>
      </w:r>
    </w:p>
    <w:p w14:paraId="03152B11" w14:textId="77777777" w:rsidR="006E5D8F" w:rsidRPr="001F0ED9" w:rsidRDefault="00D30958" w:rsidP="008305ED">
      <w:pPr>
        <w:spacing w:after="16"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E21E6AB" w14:textId="77777777" w:rsidR="006E5D8F" w:rsidRPr="00AC306C" w:rsidRDefault="00D30958" w:rsidP="008305ED">
      <w:pPr>
        <w:pStyle w:val="Heading4"/>
        <w:spacing w:line="240" w:lineRule="auto"/>
        <w:ind w:left="-5" w:right="15"/>
        <w:rPr>
          <w:rFonts w:asciiTheme="minorHAnsi" w:hAnsiTheme="minorHAnsi" w:cstheme="minorHAnsi"/>
          <w:i w:val="0"/>
          <w:iCs/>
          <w:sz w:val="24"/>
          <w:szCs w:val="24"/>
        </w:rPr>
      </w:pPr>
      <w:r w:rsidRPr="00AC306C">
        <w:rPr>
          <w:rFonts w:asciiTheme="minorHAnsi" w:hAnsiTheme="minorHAnsi" w:cstheme="minorHAnsi"/>
          <w:i w:val="0"/>
          <w:iCs/>
          <w:sz w:val="24"/>
          <w:szCs w:val="24"/>
        </w:rPr>
        <w:t xml:space="preserve">Supervisory Committee </w:t>
      </w:r>
    </w:p>
    <w:p w14:paraId="38D5024D" w14:textId="0A29BDFD" w:rsidR="006E5D8F" w:rsidRPr="00AC306C" w:rsidRDefault="00D30958" w:rsidP="00AC306C">
      <w:pPr>
        <w:spacing w:after="0" w:line="240" w:lineRule="auto"/>
        <w:ind w:left="0" w:right="15" w:firstLine="0"/>
        <w:jc w:val="left"/>
        <w:rPr>
          <w:rFonts w:asciiTheme="minorHAnsi" w:hAnsiTheme="minorHAnsi" w:cstheme="minorHAnsi"/>
          <w:sz w:val="22"/>
        </w:rPr>
      </w:pPr>
      <w:r w:rsidRPr="00AC306C">
        <w:rPr>
          <w:rFonts w:asciiTheme="minorHAnsi" w:hAnsiTheme="minorHAnsi" w:cstheme="minorHAnsi"/>
          <w:sz w:val="22"/>
        </w:rPr>
        <w:t xml:space="preserve">All MSc and PhD students should be assigned a Supervisory Committee consisting of the supervisor, and at least two faculty members (internal or external) approved by the Dean of the School of Pharmacy and the Dean of </w:t>
      </w:r>
      <w:r w:rsidR="007A2BD9" w:rsidRPr="00AC306C">
        <w:rPr>
          <w:rFonts w:asciiTheme="minorHAnsi" w:hAnsiTheme="minorHAnsi" w:cstheme="minorHAnsi"/>
          <w:sz w:val="22"/>
        </w:rPr>
        <w:t xml:space="preserve">Graduate Studies &amp; Research </w:t>
      </w:r>
      <w:r w:rsidRPr="00AC306C">
        <w:rPr>
          <w:rFonts w:asciiTheme="minorHAnsi" w:hAnsiTheme="minorHAnsi" w:cstheme="minorHAnsi"/>
          <w:sz w:val="22"/>
        </w:rPr>
        <w:t>prior to admission to the School of Graduate Studies. The role of the Supervisory Committee is to monitor the graduate student’s progress and to provide guidance in all aspects of the student’s program.</w:t>
      </w:r>
      <w:r w:rsidR="00E61784" w:rsidRPr="00AC306C">
        <w:rPr>
          <w:rFonts w:asciiTheme="minorHAnsi" w:hAnsiTheme="minorHAnsi" w:cstheme="minorHAnsi"/>
          <w:sz w:val="22"/>
        </w:rPr>
        <w:t xml:space="preserve"> </w:t>
      </w:r>
      <w:r w:rsidRPr="00AC306C">
        <w:rPr>
          <w:rFonts w:asciiTheme="minorHAnsi" w:hAnsiTheme="minorHAnsi" w:cstheme="minorHAnsi"/>
          <w:sz w:val="22"/>
        </w:rPr>
        <w:t>Particul</w:t>
      </w:r>
      <w:r w:rsidR="00FF4536" w:rsidRPr="00AC306C">
        <w:rPr>
          <w:rFonts w:asciiTheme="minorHAnsi" w:hAnsiTheme="minorHAnsi" w:cstheme="minorHAnsi"/>
          <w:sz w:val="22"/>
        </w:rPr>
        <w:t xml:space="preserve">arly, the Supervisory Committee </w:t>
      </w:r>
      <w:r w:rsidR="007A2BD9" w:rsidRPr="00AC306C">
        <w:rPr>
          <w:rFonts w:asciiTheme="minorHAnsi" w:hAnsiTheme="minorHAnsi" w:cstheme="minorHAnsi"/>
          <w:sz w:val="22"/>
        </w:rPr>
        <w:t>must</w:t>
      </w:r>
      <w:r w:rsidR="00FF4536" w:rsidRPr="00AC306C">
        <w:rPr>
          <w:rFonts w:asciiTheme="minorHAnsi" w:hAnsiTheme="minorHAnsi" w:cstheme="minorHAnsi"/>
          <w:sz w:val="22"/>
        </w:rPr>
        <w:t>:</w:t>
      </w:r>
      <w:r w:rsidRPr="00AC306C">
        <w:rPr>
          <w:rFonts w:asciiTheme="minorHAnsi" w:hAnsiTheme="minorHAnsi" w:cstheme="minorHAnsi"/>
          <w:sz w:val="22"/>
        </w:rPr>
        <w:t xml:space="preserve"> </w:t>
      </w:r>
    </w:p>
    <w:p w14:paraId="5EC60ADA" w14:textId="3038AFC8" w:rsidR="006E5D8F" w:rsidRPr="001F0ED9" w:rsidRDefault="006E5D8F" w:rsidP="008305ED">
      <w:pPr>
        <w:spacing w:after="0" w:line="240" w:lineRule="auto"/>
        <w:ind w:left="0" w:right="15" w:firstLine="40"/>
        <w:jc w:val="left"/>
        <w:rPr>
          <w:rFonts w:asciiTheme="minorHAnsi" w:hAnsiTheme="minorHAnsi" w:cstheme="minorHAnsi"/>
          <w:sz w:val="22"/>
        </w:rPr>
      </w:pPr>
    </w:p>
    <w:p w14:paraId="6E9B46F4" w14:textId="07B91E0D" w:rsidR="006E5D8F" w:rsidRPr="001F0ED9" w:rsidRDefault="00D30958" w:rsidP="00A962C4">
      <w:pPr>
        <w:numPr>
          <w:ilvl w:val="0"/>
          <w:numId w:val="3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ensure that a detailed program for the</w:t>
      </w:r>
      <w:r w:rsidR="007A2BD9">
        <w:rPr>
          <w:rFonts w:asciiTheme="minorHAnsi" w:hAnsiTheme="minorHAnsi" w:cstheme="minorHAnsi"/>
          <w:sz w:val="22"/>
        </w:rPr>
        <w:t xml:space="preserve"> </w:t>
      </w:r>
      <w:r w:rsidRPr="001F0ED9">
        <w:rPr>
          <w:rFonts w:asciiTheme="minorHAnsi" w:hAnsiTheme="minorHAnsi" w:cstheme="minorHAnsi"/>
          <w:sz w:val="22"/>
        </w:rPr>
        <w:t>graduate student is in place</w:t>
      </w:r>
      <w:r w:rsidR="007A2BD9" w:rsidRPr="007A2BD9">
        <w:rPr>
          <w:rFonts w:asciiTheme="minorHAnsi" w:hAnsiTheme="minorHAnsi" w:cstheme="minorHAnsi"/>
          <w:sz w:val="22"/>
        </w:rPr>
        <w:t xml:space="preserve"> </w:t>
      </w:r>
      <w:r w:rsidR="007A2BD9" w:rsidRPr="001C64FA">
        <w:rPr>
          <w:rFonts w:asciiTheme="minorHAnsi" w:hAnsiTheme="minorHAnsi" w:cstheme="minorHAnsi"/>
          <w:i/>
          <w:sz w:val="22"/>
        </w:rPr>
        <w:t>before registration in the second semester</w:t>
      </w:r>
      <w:r w:rsidRPr="001F0ED9">
        <w:rPr>
          <w:rFonts w:asciiTheme="minorHAnsi" w:hAnsiTheme="minorHAnsi" w:cstheme="minorHAnsi"/>
          <w:sz w:val="22"/>
        </w:rPr>
        <w:t xml:space="preserve">; </w:t>
      </w:r>
    </w:p>
    <w:p w14:paraId="55FDDED9" w14:textId="09BC4CFF" w:rsidR="006E5D8F" w:rsidRPr="001F0ED9" w:rsidRDefault="006E5D8F" w:rsidP="00A962C4">
      <w:pPr>
        <w:spacing w:after="0" w:line="240" w:lineRule="auto"/>
        <w:ind w:left="709" w:right="15" w:hanging="425"/>
        <w:jc w:val="left"/>
        <w:rPr>
          <w:rFonts w:asciiTheme="minorHAnsi" w:hAnsiTheme="minorHAnsi" w:cstheme="minorHAnsi"/>
          <w:sz w:val="22"/>
        </w:rPr>
      </w:pPr>
    </w:p>
    <w:p w14:paraId="075B0D5E" w14:textId="55F4E2F5" w:rsidR="006E5D8F" w:rsidRPr="001F0ED9" w:rsidRDefault="00D30958" w:rsidP="00A962C4">
      <w:pPr>
        <w:numPr>
          <w:ilvl w:val="0"/>
          <w:numId w:val="36"/>
        </w:numPr>
        <w:spacing w:after="0"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meet with the student at least once a year to review his/her progress and prepare an annual written progress report for submission to the Dean of the School of Pharmacy who will forward it to the Dean of the School of Graduate </w:t>
      </w:r>
      <w:r w:rsidR="007A2BD9">
        <w:rPr>
          <w:rFonts w:asciiTheme="minorHAnsi" w:hAnsiTheme="minorHAnsi" w:cstheme="minorHAnsi"/>
          <w:sz w:val="22"/>
        </w:rPr>
        <w:t>S</w:t>
      </w:r>
      <w:r w:rsidR="007A2BD9" w:rsidRPr="001F0ED9">
        <w:rPr>
          <w:rFonts w:asciiTheme="minorHAnsi" w:hAnsiTheme="minorHAnsi" w:cstheme="minorHAnsi"/>
          <w:sz w:val="22"/>
        </w:rPr>
        <w:t>tudies</w:t>
      </w:r>
      <w:r w:rsidRPr="001F0ED9">
        <w:rPr>
          <w:rFonts w:asciiTheme="minorHAnsi" w:hAnsiTheme="minorHAnsi" w:cstheme="minorHAnsi"/>
          <w:sz w:val="22"/>
        </w:rPr>
        <w:t xml:space="preserve">; </w:t>
      </w:r>
    </w:p>
    <w:p w14:paraId="4B1C7D27" w14:textId="17E2951A" w:rsidR="006E5D8F" w:rsidRPr="001F0ED9" w:rsidRDefault="006E5D8F" w:rsidP="00A962C4">
      <w:pPr>
        <w:spacing w:after="4" w:line="240" w:lineRule="auto"/>
        <w:ind w:left="709" w:right="15" w:hanging="425"/>
        <w:jc w:val="left"/>
        <w:rPr>
          <w:rFonts w:asciiTheme="minorHAnsi" w:hAnsiTheme="minorHAnsi" w:cstheme="minorHAnsi"/>
          <w:sz w:val="22"/>
        </w:rPr>
      </w:pPr>
    </w:p>
    <w:p w14:paraId="1EFA2F3D" w14:textId="77777777" w:rsidR="006E5D8F" w:rsidRPr="001F0ED9" w:rsidRDefault="00D30958" w:rsidP="00A962C4">
      <w:pPr>
        <w:numPr>
          <w:ilvl w:val="0"/>
          <w:numId w:val="3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recommend transfer to the PhD program subsequent to the 4</w:t>
      </w:r>
      <w:r w:rsidRPr="001F0ED9">
        <w:rPr>
          <w:rFonts w:asciiTheme="minorHAnsi" w:hAnsiTheme="minorHAnsi" w:cstheme="minorHAnsi"/>
          <w:sz w:val="22"/>
          <w:vertAlign w:val="superscript"/>
        </w:rPr>
        <w:t>th</w:t>
      </w:r>
      <w:r w:rsidRPr="001F0ED9">
        <w:rPr>
          <w:rFonts w:asciiTheme="minorHAnsi" w:hAnsiTheme="minorHAnsi" w:cstheme="minorHAnsi"/>
          <w:sz w:val="22"/>
        </w:rPr>
        <w:t xml:space="preserve"> semester of study on the basis of merit and successful presentation of a PhD research proposal; </w:t>
      </w:r>
    </w:p>
    <w:p w14:paraId="7EF30A7A" w14:textId="6A7EBE57" w:rsidR="006E5D8F" w:rsidRPr="001F0ED9" w:rsidRDefault="006E5D8F" w:rsidP="00A962C4">
      <w:pPr>
        <w:spacing w:after="0" w:line="240" w:lineRule="auto"/>
        <w:ind w:left="709" w:right="15" w:hanging="425"/>
        <w:jc w:val="left"/>
        <w:rPr>
          <w:rFonts w:asciiTheme="minorHAnsi" w:hAnsiTheme="minorHAnsi" w:cstheme="minorHAnsi"/>
          <w:sz w:val="22"/>
        </w:rPr>
      </w:pPr>
    </w:p>
    <w:p w14:paraId="4CE5E9EC" w14:textId="77777777" w:rsidR="006E5D8F" w:rsidRPr="001F0ED9" w:rsidRDefault="00D30958" w:rsidP="00A962C4">
      <w:pPr>
        <w:numPr>
          <w:ilvl w:val="0"/>
          <w:numId w:val="3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recommend termination of the program for lack of progress; </w:t>
      </w:r>
    </w:p>
    <w:p w14:paraId="2B4BE976" w14:textId="1B58FCC7" w:rsidR="006E5D8F" w:rsidRPr="001F0ED9" w:rsidRDefault="006E5D8F" w:rsidP="00A962C4">
      <w:pPr>
        <w:spacing w:after="0" w:line="240" w:lineRule="auto"/>
        <w:ind w:left="709" w:right="15" w:hanging="425"/>
        <w:jc w:val="left"/>
        <w:rPr>
          <w:rFonts w:asciiTheme="minorHAnsi" w:hAnsiTheme="minorHAnsi" w:cstheme="minorHAnsi"/>
          <w:sz w:val="22"/>
        </w:rPr>
      </w:pPr>
    </w:p>
    <w:p w14:paraId="1A482ED5" w14:textId="77777777" w:rsidR="006E5D8F" w:rsidRPr="001F0ED9" w:rsidRDefault="00D30958" w:rsidP="00A962C4">
      <w:pPr>
        <w:numPr>
          <w:ilvl w:val="0"/>
          <w:numId w:val="36"/>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review the final version of thesis before submission to examiners. </w:t>
      </w:r>
    </w:p>
    <w:p w14:paraId="5E39687C" w14:textId="3FE62AB8" w:rsidR="006E5D8F" w:rsidRPr="001F0ED9" w:rsidRDefault="006E5D8F" w:rsidP="008305ED">
      <w:pPr>
        <w:spacing w:after="0" w:line="240" w:lineRule="auto"/>
        <w:ind w:left="0" w:right="15" w:firstLine="40"/>
        <w:jc w:val="left"/>
        <w:rPr>
          <w:rFonts w:asciiTheme="minorHAnsi" w:hAnsiTheme="minorHAnsi" w:cstheme="minorHAnsi"/>
          <w:sz w:val="22"/>
        </w:rPr>
      </w:pPr>
    </w:p>
    <w:p w14:paraId="5B6A4559" w14:textId="6929AF23"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The structure of a supervisory committee will be evaluated on a case-by-case basis by the Associate Dean of Graduate Studies </w:t>
      </w:r>
      <w:r w:rsidR="007A2BD9">
        <w:rPr>
          <w:rFonts w:asciiTheme="minorHAnsi" w:hAnsiTheme="minorHAnsi" w:cstheme="minorHAnsi"/>
          <w:sz w:val="22"/>
        </w:rPr>
        <w:t>&amp;</w:t>
      </w:r>
      <w:r w:rsidR="007A2BD9" w:rsidRPr="001F0ED9">
        <w:rPr>
          <w:rFonts w:asciiTheme="minorHAnsi" w:hAnsiTheme="minorHAnsi" w:cstheme="minorHAnsi"/>
          <w:sz w:val="22"/>
        </w:rPr>
        <w:t xml:space="preserve"> </w:t>
      </w:r>
      <w:r w:rsidRPr="001F0ED9">
        <w:rPr>
          <w:rFonts w:asciiTheme="minorHAnsi" w:hAnsiTheme="minorHAnsi" w:cstheme="minorHAnsi"/>
          <w:sz w:val="22"/>
        </w:rPr>
        <w:t xml:space="preserve">Research and the </w:t>
      </w:r>
      <w:r w:rsidR="007A2BD9" w:rsidRPr="007A2BD9">
        <w:rPr>
          <w:rFonts w:asciiTheme="minorHAnsi" w:hAnsiTheme="minorHAnsi" w:cstheme="minorHAnsi"/>
          <w:sz w:val="22"/>
        </w:rPr>
        <w:t xml:space="preserve">Graduate Studies </w:t>
      </w:r>
      <w:r w:rsidR="007A2BD9">
        <w:rPr>
          <w:rFonts w:asciiTheme="minorHAnsi" w:hAnsiTheme="minorHAnsi" w:cstheme="minorHAnsi"/>
          <w:sz w:val="22"/>
        </w:rPr>
        <w:t>&amp;</w:t>
      </w:r>
      <w:r w:rsidR="007A2BD9" w:rsidRPr="007A2BD9">
        <w:rPr>
          <w:rFonts w:asciiTheme="minorHAnsi" w:hAnsiTheme="minorHAnsi" w:cstheme="minorHAnsi"/>
          <w:sz w:val="22"/>
        </w:rPr>
        <w:t xml:space="preserve"> Research</w:t>
      </w:r>
      <w:r w:rsidRPr="001F0ED9">
        <w:rPr>
          <w:rFonts w:asciiTheme="minorHAnsi" w:hAnsiTheme="minorHAnsi" w:cstheme="minorHAnsi"/>
          <w:sz w:val="22"/>
        </w:rPr>
        <w:t xml:space="preserve"> committee.</w:t>
      </w:r>
      <w:r w:rsidR="00E61784">
        <w:rPr>
          <w:rFonts w:asciiTheme="minorHAnsi" w:hAnsiTheme="minorHAnsi" w:cstheme="minorHAnsi"/>
          <w:sz w:val="22"/>
        </w:rPr>
        <w:t xml:space="preserve"> </w:t>
      </w:r>
      <w:r w:rsidRPr="001F0ED9">
        <w:rPr>
          <w:rFonts w:asciiTheme="minorHAnsi" w:hAnsiTheme="minorHAnsi" w:cstheme="minorHAnsi"/>
          <w:sz w:val="22"/>
        </w:rPr>
        <w:t xml:space="preserve">For example, a </w:t>
      </w:r>
      <w:proofErr w:type="gramStart"/>
      <w:r w:rsidRPr="001F0ED9">
        <w:rPr>
          <w:rFonts w:asciiTheme="minorHAnsi" w:hAnsiTheme="minorHAnsi" w:cstheme="minorHAnsi"/>
          <w:sz w:val="22"/>
        </w:rPr>
        <w:t>Faculty</w:t>
      </w:r>
      <w:proofErr w:type="gramEnd"/>
      <w:r w:rsidRPr="001F0ED9">
        <w:rPr>
          <w:rFonts w:asciiTheme="minorHAnsi" w:hAnsiTheme="minorHAnsi" w:cstheme="minorHAnsi"/>
          <w:sz w:val="22"/>
        </w:rPr>
        <w:t xml:space="preserve"> member with a PharmD degree that is intending to mentor a PhD student would be expected to have another faculty member with a PhD serve as a co</w:t>
      </w:r>
      <w:r w:rsidR="00FF4536">
        <w:rPr>
          <w:rFonts w:asciiTheme="minorHAnsi" w:hAnsiTheme="minorHAnsi" w:cstheme="minorHAnsi"/>
          <w:sz w:val="22"/>
        </w:rPr>
        <w:t>-</w:t>
      </w:r>
      <w:r w:rsidRPr="001F0ED9">
        <w:rPr>
          <w:rFonts w:asciiTheme="minorHAnsi" w:hAnsiTheme="minorHAnsi" w:cstheme="minorHAnsi"/>
          <w:sz w:val="22"/>
        </w:rPr>
        <w:t>supervisor for the first PhD student that is supervised.</w:t>
      </w:r>
      <w:r w:rsidR="00E61784">
        <w:rPr>
          <w:rFonts w:asciiTheme="minorHAnsi" w:hAnsiTheme="minorHAnsi" w:cstheme="minorHAnsi"/>
          <w:sz w:val="22"/>
        </w:rPr>
        <w:t xml:space="preserve"> </w:t>
      </w:r>
      <w:r w:rsidRPr="001F0ED9">
        <w:rPr>
          <w:rFonts w:asciiTheme="minorHAnsi" w:hAnsiTheme="minorHAnsi" w:cstheme="minorHAnsi"/>
          <w:sz w:val="22"/>
        </w:rPr>
        <w:t>Also, an individual with a PhD would be expected to successfully graduate a</w:t>
      </w:r>
      <w:r w:rsidR="007A2BD9">
        <w:rPr>
          <w:rFonts w:asciiTheme="minorHAnsi" w:hAnsiTheme="minorHAnsi" w:cstheme="minorHAnsi"/>
          <w:sz w:val="22"/>
        </w:rPr>
        <w:t>n</w:t>
      </w:r>
      <w:r w:rsidRPr="001F0ED9">
        <w:rPr>
          <w:rFonts w:asciiTheme="minorHAnsi" w:hAnsiTheme="minorHAnsi" w:cstheme="minorHAnsi"/>
          <w:sz w:val="22"/>
        </w:rPr>
        <w:t xml:space="preserve"> MSc student before acting as the primary supervisor for a PhD student. </w:t>
      </w:r>
    </w:p>
    <w:p w14:paraId="16F33B2E"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77C31D2A" w14:textId="7E6A567E" w:rsidR="006E5D8F" w:rsidRPr="00AA5A22" w:rsidRDefault="00AC306C" w:rsidP="008305ED">
      <w:pPr>
        <w:spacing w:after="50" w:line="240" w:lineRule="auto"/>
        <w:ind w:left="0" w:right="15" w:firstLine="0"/>
        <w:jc w:val="left"/>
        <w:rPr>
          <w:rFonts w:asciiTheme="minorHAnsi" w:hAnsiTheme="minorHAnsi" w:cstheme="minorHAnsi"/>
          <w:sz w:val="32"/>
          <w:szCs w:val="32"/>
        </w:rPr>
      </w:pPr>
      <w:r w:rsidRPr="00AA5A22">
        <w:rPr>
          <w:rFonts w:asciiTheme="minorHAnsi" w:hAnsiTheme="minorHAnsi" w:cstheme="minorHAnsi"/>
          <w:b/>
          <w:sz w:val="32"/>
          <w:szCs w:val="32"/>
        </w:rPr>
        <w:br w:type="column"/>
      </w:r>
      <w:r w:rsidR="007A2BD9" w:rsidRPr="00AA5A22">
        <w:rPr>
          <w:rFonts w:asciiTheme="minorHAnsi" w:hAnsiTheme="minorHAnsi" w:cstheme="minorHAnsi"/>
          <w:b/>
          <w:sz w:val="32"/>
          <w:szCs w:val="32"/>
        </w:rPr>
        <w:lastRenderedPageBreak/>
        <w:t xml:space="preserve">Specific </w:t>
      </w:r>
      <w:r w:rsidR="00D30958" w:rsidRPr="00AA5A22">
        <w:rPr>
          <w:rFonts w:asciiTheme="minorHAnsi" w:hAnsiTheme="minorHAnsi" w:cstheme="minorHAnsi"/>
          <w:b/>
          <w:sz w:val="32"/>
          <w:szCs w:val="32"/>
        </w:rPr>
        <w:t xml:space="preserve">Program Requirements </w:t>
      </w:r>
    </w:p>
    <w:p w14:paraId="1342D13E"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0561EA1B" w14:textId="28854C30" w:rsidR="006E5D8F" w:rsidRDefault="00D30958" w:rsidP="00AC306C">
      <w:pPr>
        <w:pStyle w:val="Heading2"/>
        <w:spacing w:after="0" w:line="240" w:lineRule="auto"/>
        <w:ind w:right="15"/>
        <w:rPr>
          <w:rFonts w:asciiTheme="minorHAnsi" w:hAnsiTheme="minorHAnsi" w:cstheme="minorHAnsi"/>
          <w:b w:val="0"/>
          <w:bCs/>
          <w:sz w:val="28"/>
          <w:szCs w:val="28"/>
          <w:u w:val="none"/>
        </w:rPr>
      </w:pPr>
      <w:bookmarkStart w:id="6" w:name="_Toc111554534"/>
      <w:r w:rsidRPr="00623F9F">
        <w:rPr>
          <w:rFonts w:asciiTheme="minorHAnsi" w:hAnsiTheme="minorHAnsi" w:cstheme="minorHAnsi"/>
          <w:b w:val="0"/>
          <w:bCs/>
          <w:sz w:val="28"/>
          <w:szCs w:val="28"/>
          <w:u w:val="none"/>
        </w:rPr>
        <w:t>MSc Program</w:t>
      </w:r>
      <w:bookmarkEnd w:id="6"/>
      <w:r w:rsidRPr="00623F9F">
        <w:rPr>
          <w:rFonts w:asciiTheme="minorHAnsi" w:hAnsiTheme="minorHAnsi" w:cstheme="minorHAnsi"/>
          <w:b w:val="0"/>
          <w:bCs/>
          <w:sz w:val="28"/>
          <w:szCs w:val="28"/>
          <w:u w:val="none"/>
        </w:rPr>
        <w:t xml:space="preserve"> </w:t>
      </w:r>
    </w:p>
    <w:p w14:paraId="1CC88D94" w14:textId="77777777" w:rsidR="00623F9F" w:rsidRPr="00623F9F" w:rsidRDefault="00623F9F" w:rsidP="00623F9F"/>
    <w:p w14:paraId="03E81931" w14:textId="1D3CD62D" w:rsidR="006E5D8F" w:rsidRPr="001F0ED9" w:rsidRDefault="00D30958" w:rsidP="00AC306C">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Generally, students are accepted into </w:t>
      </w:r>
      <w:r w:rsidR="007A2BD9">
        <w:rPr>
          <w:rFonts w:asciiTheme="minorHAnsi" w:hAnsiTheme="minorHAnsi" w:cstheme="minorHAnsi"/>
          <w:sz w:val="22"/>
        </w:rPr>
        <w:t>the g</w:t>
      </w:r>
      <w:r w:rsidR="007A2BD9" w:rsidRPr="001F0ED9">
        <w:rPr>
          <w:rFonts w:asciiTheme="minorHAnsi" w:hAnsiTheme="minorHAnsi" w:cstheme="minorHAnsi"/>
          <w:sz w:val="22"/>
        </w:rPr>
        <w:t xml:space="preserve">raduate </w:t>
      </w:r>
      <w:r w:rsidR="007A2BD9">
        <w:rPr>
          <w:rFonts w:asciiTheme="minorHAnsi" w:hAnsiTheme="minorHAnsi" w:cstheme="minorHAnsi"/>
          <w:sz w:val="22"/>
        </w:rPr>
        <w:t>p</w:t>
      </w:r>
      <w:r w:rsidR="007A2BD9" w:rsidRPr="001F0ED9">
        <w:rPr>
          <w:rFonts w:asciiTheme="minorHAnsi" w:hAnsiTheme="minorHAnsi" w:cstheme="minorHAnsi"/>
          <w:sz w:val="22"/>
        </w:rPr>
        <w:t xml:space="preserve">rogram </w:t>
      </w:r>
      <w:r w:rsidRPr="001F0ED9">
        <w:rPr>
          <w:rFonts w:asciiTheme="minorHAnsi" w:hAnsiTheme="minorHAnsi" w:cstheme="minorHAnsi"/>
          <w:sz w:val="22"/>
        </w:rPr>
        <w:t xml:space="preserve">at the School of Pharmacy in the MSc program. </w:t>
      </w:r>
    </w:p>
    <w:p w14:paraId="7A1B102A"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7B481144" w14:textId="10015322"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The MSc program requires a minimum of </w:t>
      </w:r>
      <w:r w:rsidR="00F44AE7">
        <w:rPr>
          <w:rFonts w:asciiTheme="minorHAnsi" w:hAnsiTheme="minorHAnsi" w:cstheme="minorHAnsi"/>
          <w:sz w:val="22"/>
        </w:rPr>
        <w:t>six</w:t>
      </w:r>
      <w:r w:rsidRPr="001F0ED9">
        <w:rPr>
          <w:rFonts w:asciiTheme="minorHAnsi" w:hAnsiTheme="minorHAnsi" w:cstheme="minorHAnsi"/>
          <w:sz w:val="22"/>
        </w:rPr>
        <w:t xml:space="preserve"> credit hours of course work (minimum B grades required); additional credit courses (minimum B grades required) and/or non</w:t>
      </w:r>
      <w:r w:rsidR="00FF4536">
        <w:rPr>
          <w:rFonts w:asciiTheme="minorHAnsi" w:hAnsiTheme="minorHAnsi" w:cstheme="minorHAnsi"/>
          <w:sz w:val="22"/>
        </w:rPr>
        <w:t>-</w:t>
      </w:r>
      <w:r w:rsidRPr="001F0ED9">
        <w:rPr>
          <w:rFonts w:asciiTheme="minorHAnsi" w:hAnsiTheme="minorHAnsi" w:cstheme="minorHAnsi"/>
          <w:sz w:val="22"/>
        </w:rPr>
        <w:t xml:space="preserve">credit (audit) courses as recommended by the supervisory committee; annual presentation of graduate seminars (one seminar per year) and a final research seminar; and submission of </w:t>
      </w:r>
      <w:r w:rsidR="007A2BD9">
        <w:rPr>
          <w:rFonts w:asciiTheme="minorHAnsi" w:hAnsiTheme="minorHAnsi" w:cstheme="minorHAnsi"/>
          <w:sz w:val="22"/>
        </w:rPr>
        <w:t xml:space="preserve">a </w:t>
      </w:r>
      <w:r w:rsidRPr="001F0ED9">
        <w:rPr>
          <w:rFonts w:asciiTheme="minorHAnsi" w:hAnsiTheme="minorHAnsi" w:cstheme="minorHAnsi"/>
          <w:sz w:val="22"/>
        </w:rPr>
        <w:t>Master’s thesis.</w:t>
      </w:r>
      <w:r w:rsidR="00E61784">
        <w:rPr>
          <w:rFonts w:asciiTheme="minorHAnsi" w:hAnsiTheme="minorHAnsi" w:cstheme="minorHAnsi"/>
          <w:sz w:val="22"/>
        </w:rPr>
        <w:t xml:space="preserve"> </w:t>
      </w:r>
      <w:r w:rsidRPr="001F0ED9">
        <w:rPr>
          <w:rFonts w:asciiTheme="minorHAnsi" w:hAnsiTheme="minorHAnsi" w:cstheme="minorHAnsi"/>
          <w:sz w:val="22"/>
        </w:rPr>
        <w:t>The final research seminar should be presented before submission of the Master’s thesis for examination by the supervisory committee.</w:t>
      </w:r>
      <w:r w:rsidR="00E61784">
        <w:rPr>
          <w:rFonts w:asciiTheme="minorHAnsi" w:hAnsiTheme="minorHAnsi" w:cstheme="minorHAnsi"/>
          <w:sz w:val="22"/>
        </w:rPr>
        <w:t xml:space="preserve"> </w:t>
      </w:r>
      <w:r w:rsidRPr="001F0ED9">
        <w:rPr>
          <w:rFonts w:asciiTheme="minorHAnsi" w:hAnsiTheme="minorHAnsi" w:cstheme="minorHAnsi"/>
          <w:sz w:val="22"/>
        </w:rPr>
        <w:t xml:space="preserve">This seminar will be judged by a panel of faculty members, peer graduate students and </w:t>
      </w:r>
      <w:r w:rsidR="007A2BD9">
        <w:rPr>
          <w:rFonts w:asciiTheme="minorHAnsi" w:hAnsiTheme="minorHAnsi" w:cstheme="minorHAnsi"/>
          <w:sz w:val="22"/>
        </w:rPr>
        <w:t xml:space="preserve">general </w:t>
      </w:r>
      <w:r w:rsidRPr="001F0ED9">
        <w:rPr>
          <w:rFonts w:asciiTheme="minorHAnsi" w:hAnsiTheme="minorHAnsi" w:cstheme="minorHAnsi"/>
          <w:sz w:val="22"/>
        </w:rPr>
        <w:t>audiences.</w:t>
      </w:r>
      <w:r w:rsidR="00E61784">
        <w:rPr>
          <w:rFonts w:asciiTheme="minorHAnsi" w:hAnsiTheme="minorHAnsi" w:cstheme="minorHAnsi"/>
          <w:sz w:val="22"/>
        </w:rPr>
        <w:t xml:space="preserve"> </w:t>
      </w:r>
      <w:r w:rsidRPr="001F0ED9">
        <w:rPr>
          <w:rFonts w:asciiTheme="minorHAnsi" w:hAnsiTheme="minorHAnsi" w:cstheme="minorHAnsi"/>
          <w:sz w:val="22"/>
        </w:rPr>
        <w:t xml:space="preserve">The outcome of the final research seminar will be either “Pass” </w:t>
      </w:r>
      <w:r w:rsidR="007A2BD9" w:rsidRPr="001F0ED9">
        <w:rPr>
          <w:rFonts w:asciiTheme="minorHAnsi" w:hAnsiTheme="minorHAnsi" w:cstheme="minorHAnsi"/>
          <w:sz w:val="22"/>
        </w:rPr>
        <w:t>o</w:t>
      </w:r>
      <w:r w:rsidR="007A2BD9">
        <w:rPr>
          <w:rFonts w:asciiTheme="minorHAnsi" w:hAnsiTheme="minorHAnsi" w:cstheme="minorHAnsi"/>
          <w:sz w:val="22"/>
        </w:rPr>
        <w:t>r</w:t>
      </w:r>
      <w:r w:rsidR="007A2BD9" w:rsidRPr="001F0ED9">
        <w:rPr>
          <w:rFonts w:asciiTheme="minorHAnsi" w:hAnsiTheme="minorHAnsi" w:cstheme="minorHAnsi"/>
          <w:sz w:val="22"/>
        </w:rPr>
        <w:t xml:space="preserve"> </w:t>
      </w:r>
      <w:r w:rsidRPr="001F0ED9">
        <w:rPr>
          <w:rFonts w:asciiTheme="minorHAnsi" w:hAnsiTheme="minorHAnsi" w:cstheme="minorHAnsi"/>
          <w:sz w:val="22"/>
        </w:rPr>
        <w:t>“Fail.” If the outcome is “</w:t>
      </w:r>
      <w:proofErr w:type="gramStart"/>
      <w:r w:rsidRPr="001F0ED9">
        <w:rPr>
          <w:rFonts w:asciiTheme="minorHAnsi" w:hAnsiTheme="minorHAnsi" w:cstheme="minorHAnsi"/>
          <w:sz w:val="22"/>
        </w:rPr>
        <w:t>Fail</w:t>
      </w:r>
      <w:proofErr w:type="gramEnd"/>
      <w:r w:rsidRPr="001F0ED9">
        <w:rPr>
          <w:rFonts w:asciiTheme="minorHAnsi" w:hAnsiTheme="minorHAnsi" w:cstheme="minorHAnsi"/>
          <w:sz w:val="22"/>
        </w:rPr>
        <w:t xml:space="preserve">”, based on the approval of the Graduate Studies </w:t>
      </w:r>
      <w:r w:rsidR="007A2BD9">
        <w:rPr>
          <w:rFonts w:asciiTheme="minorHAnsi" w:hAnsiTheme="minorHAnsi" w:cstheme="minorHAnsi"/>
          <w:sz w:val="22"/>
        </w:rPr>
        <w:t>&amp;</w:t>
      </w:r>
      <w:r w:rsidR="007A2BD9" w:rsidRPr="001F0ED9">
        <w:rPr>
          <w:rFonts w:asciiTheme="minorHAnsi" w:hAnsiTheme="minorHAnsi" w:cstheme="minorHAnsi"/>
          <w:sz w:val="22"/>
        </w:rPr>
        <w:t xml:space="preserve"> </w:t>
      </w:r>
      <w:r w:rsidRPr="001F0ED9">
        <w:rPr>
          <w:rFonts w:asciiTheme="minorHAnsi" w:hAnsiTheme="minorHAnsi" w:cstheme="minorHAnsi"/>
          <w:sz w:val="22"/>
        </w:rPr>
        <w:t xml:space="preserve">Research Committee, the candidate will be asked to present another research seminar within six months of the first seminar. </w:t>
      </w:r>
    </w:p>
    <w:p w14:paraId="16CB6135"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13894635" w14:textId="77777777" w:rsidR="00CA2CEE" w:rsidRPr="00AC306C" w:rsidRDefault="00CA2CEE" w:rsidP="008305ED">
      <w:pPr>
        <w:pStyle w:val="Default"/>
        <w:ind w:right="15"/>
      </w:pPr>
      <w:r w:rsidRPr="00AC306C">
        <w:rPr>
          <w:b/>
          <w:bCs/>
        </w:rPr>
        <w:t xml:space="preserve">Transfer from MSc to PhD Program </w:t>
      </w:r>
    </w:p>
    <w:p w14:paraId="6C36F8F0" w14:textId="41F12F00" w:rsidR="00CA2CEE" w:rsidRDefault="00CA2CEE" w:rsidP="008305ED">
      <w:pPr>
        <w:pStyle w:val="Default"/>
        <w:ind w:right="15"/>
        <w:rPr>
          <w:sz w:val="22"/>
          <w:szCs w:val="22"/>
        </w:rPr>
      </w:pPr>
      <w:r w:rsidRPr="00E61784">
        <w:rPr>
          <w:sz w:val="22"/>
          <w:szCs w:val="22"/>
        </w:rPr>
        <w:t xml:space="preserve">Transfer to the PhD program is possible after a minimum of 12 months in the MSc program. </w:t>
      </w:r>
      <w:r w:rsidR="00D3630B" w:rsidRPr="00E61784">
        <w:rPr>
          <w:sz w:val="22"/>
          <w:szCs w:val="22"/>
        </w:rPr>
        <w:t>Any transfer</w:t>
      </w:r>
      <w:r w:rsidRPr="00E61784">
        <w:rPr>
          <w:sz w:val="22"/>
          <w:szCs w:val="22"/>
        </w:rPr>
        <w:t xml:space="preserve"> to PhD status</w:t>
      </w:r>
      <w:r w:rsidR="00D3630B" w:rsidRPr="00E61784">
        <w:rPr>
          <w:sz w:val="22"/>
          <w:szCs w:val="22"/>
        </w:rPr>
        <w:t xml:space="preserve"> would </w:t>
      </w:r>
      <w:r w:rsidRPr="00E61784">
        <w:rPr>
          <w:sz w:val="22"/>
          <w:szCs w:val="22"/>
        </w:rPr>
        <w:t xml:space="preserve">retroactive to the </w:t>
      </w:r>
      <w:r w:rsidR="00D3630B" w:rsidRPr="00E61784">
        <w:rPr>
          <w:sz w:val="22"/>
          <w:szCs w:val="22"/>
        </w:rPr>
        <w:t>date</w:t>
      </w:r>
      <w:r w:rsidRPr="00E61784">
        <w:rPr>
          <w:sz w:val="22"/>
          <w:szCs w:val="22"/>
        </w:rPr>
        <w:t xml:space="preserve"> of admission into graduate studies. Transfer to the doctoral program without completi</w:t>
      </w:r>
      <w:r w:rsidR="00D3630B" w:rsidRPr="00E61784">
        <w:rPr>
          <w:sz w:val="22"/>
          <w:szCs w:val="22"/>
        </w:rPr>
        <w:t xml:space="preserve">on of a </w:t>
      </w:r>
      <w:r w:rsidRPr="00E61784">
        <w:rPr>
          <w:sz w:val="22"/>
          <w:szCs w:val="22"/>
        </w:rPr>
        <w:t xml:space="preserve">Master’s degree may be approved for exceptional students in the School of Pharmacy </w:t>
      </w:r>
      <w:proofErr w:type="gramStart"/>
      <w:r w:rsidRPr="00E61784">
        <w:rPr>
          <w:sz w:val="22"/>
          <w:szCs w:val="22"/>
        </w:rPr>
        <w:t>if  the</w:t>
      </w:r>
      <w:proofErr w:type="gramEnd"/>
      <w:r w:rsidRPr="00E61784">
        <w:rPr>
          <w:sz w:val="22"/>
          <w:szCs w:val="22"/>
        </w:rPr>
        <w:t xml:space="preserve"> following criteria</w:t>
      </w:r>
      <w:r w:rsidR="00D3630B" w:rsidRPr="00E61784">
        <w:rPr>
          <w:sz w:val="22"/>
          <w:szCs w:val="22"/>
        </w:rPr>
        <w:t xml:space="preserve"> are met</w:t>
      </w:r>
      <w:r w:rsidRPr="00E61784">
        <w:rPr>
          <w:sz w:val="22"/>
          <w:szCs w:val="22"/>
        </w:rPr>
        <w:t>:</w:t>
      </w:r>
    </w:p>
    <w:p w14:paraId="5CA4E4BF" w14:textId="77777777" w:rsidR="00AC306C" w:rsidRPr="00E61784" w:rsidRDefault="00AC306C" w:rsidP="008305ED">
      <w:pPr>
        <w:pStyle w:val="Default"/>
        <w:ind w:right="15"/>
        <w:rPr>
          <w:sz w:val="22"/>
          <w:szCs w:val="22"/>
        </w:rPr>
      </w:pPr>
    </w:p>
    <w:p w14:paraId="13F90760" w14:textId="1F18D7B7" w:rsidR="00CA2CEE" w:rsidRPr="00E61784" w:rsidRDefault="00CA2CEE" w:rsidP="00A962C4">
      <w:pPr>
        <w:pStyle w:val="ListParagraph"/>
        <w:numPr>
          <w:ilvl w:val="0"/>
          <w:numId w:val="27"/>
        </w:numPr>
        <w:spacing w:after="16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The</w:t>
      </w:r>
      <w:r w:rsidR="00D3630B" w:rsidRPr="00E61784">
        <w:rPr>
          <w:rFonts w:asciiTheme="minorHAnsi" w:hAnsiTheme="minorHAnsi" w:cstheme="minorHAnsi"/>
          <w:sz w:val="22"/>
        </w:rPr>
        <w:t xml:space="preserve"> student  has</w:t>
      </w:r>
      <w:r w:rsidRPr="00E61784">
        <w:rPr>
          <w:rFonts w:asciiTheme="minorHAnsi" w:hAnsiTheme="minorHAnsi" w:cstheme="minorHAnsi"/>
          <w:sz w:val="22"/>
        </w:rPr>
        <w:t xml:space="preserve"> maintained a first class standing (GPA of 3.5/4.0) throughout their program</w:t>
      </w:r>
    </w:p>
    <w:p w14:paraId="539CAED6" w14:textId="78C66B5E" w:rsidR="00CA2CEE" w:rsidRPr="00E61784" w:rsidRDefault="00D3630B" w:rsidP="00A962C4">
      <w:pPr>
        <w:pStyle w:val="ListParagraph"/>
        <w:numPr>
          <w:ilvl w:val="0"/>
          <w:numId w:val="27"/>
        </w:numPr>
        <w:spacing w:after="16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Submission of a </w:t>
      </w:r>
      <w:r w:rsidR="00CA2CEE" w:rsidRPr="00E61784">
        <w:rPr>
          <w:rFonts w:asciiTheme="minorHAnsi" w:hAnsiTheme="minorHAnsi" w:cstheme="minorHAnsi"/>
          <w:sz w:val="22"/>
        </w:rPr>
        <w:t xml:space="preserve"> comprehensive 1-2 page PhD proposal </w:t>
      </w:r>
      <w:r w:rsidRPr="00E61784">
        <w:rPr>
          <w:rFonts w:asciiTheme="minorHAnsi" w:hAnsiTheme="minorHAnsi" w:cstheme="minorHAnsi"/>
          <w:sz w:val="22"/>
        </w:rPr>
        <w:t>(</w:t>
      </w:r>
      <w:r w:rsidR="00CA2CEE" w:rsidRPr="00E61784">
        <w:rPr>
          <w:rFonts w:asciiTheme="minorHAnsi" w:hAnsiTheme="minorHAnsi" w:cstheme="minorHAnsi"/>
          <w:sz w:val="22"/>
        </w:rPr>
        <w:t>to be attached to the application</w:t>
      </w:r>
      <w:r w:rsidRPr="00E61784">
        <w:rPr>
          <w:rFonts w:asciiTheme="minorHAnsi" w:hAnsiTheme="minorHAnsi" w:cstheme="minorHAnsi"/>
          <w:sz w:val="22"/>
        </w:rPr>
        <w:t>)</w:t>
      </w:r>
    </w:p>
    <w:p w14:paraId="3CEC3417" w14:textId="387DD7D1" w:rsidR="00CA2CEE" w:rsidRPr="00E61784" w:rsidRDefault="00D3630B" w:rsidP="00A962C4">
      <w:pPr>
        <w:pStyle w:val="ListParagraph"/>
        <w:numPr>
          <w:ilvl w:val="0"/>
          <w:numId w:val="27"/>
        </w:numPr>
        <w:spacing w:after="16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Unanimous agreement of the </w:t>
      </w:r>
      <w:r w:rsidR="00CA2CEE" w:rsidRPr="00E61784">
        <w:rPr>
          <w:rFonts w:asciiTheme="minorHAnsi" w:hAnsiTheme="minorHAnsi" w:cstheme="minorHAnsi"/>
          <w:sz w:val="22"/>
        </w:rPr>
        <w:t xml:space="preserve"> supervisory committee</w:t>
      </w:r>
      <w:r w:rsidRPr="00E61784">
        <w:rPr>
          <w:rFonts w:asciiTheme="minorHAnsi" w:hAnsiTheme="minorHAnsi" w:cstheme="minorHAnsi"/>
          <w:sz w:val="22"/>
        </w:rPr>
        <w:t xml:space="preserve">  supporting</w:t>
      </w:r>
      <w:r w:rsidR="00CA2CEE" w:rsidRPr="00E61784">
        <w:rPr>
          <w:rFonts w:asciiTheme="minorHAnsi" w:hAnsiTheme="minorHAnsi" w:cstheme="minorHAnsi"/>
          <w:sz w:val="22"/>
        </w:rPr>
        <w:t xml:space="preserve"> the move to the PhD program</w:t>
      </w:r>
    </w:p>
    <w:p w14:paraId="4C9722DB" w14:textId="77777777" w:rsidR="00CA2CEE" w:rsidRPr="00E61784" w:rsidRDefault="00CA2CEE" w:rsidP="00A962C4">
      <w:pPr>
        <w:pStyle w:val="ListParagraph"/>
        <w:numPr>
          <w:ilvl w:val="0"/>
          <w:numId w:val="27"/>
        </w:numPr>
        <w:spacing w:after="16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The student meets at least one of the following research productivity criteria:</w:t>
      </w:r>
    </w:p>
    <w:p w14:paraId="5D2116DB" w14:textId="77777777" w:rsidR="00CA2CEE" w:rsidRPr="00E61784" w:rsidRDefault="00CA2CEE" w:rsidP="00A962C4">
      <w:pPr>
        <w:pStyle w:val="ListParagraph"/>
        <w:numPr>
          <w:ilvl w:val="1"/>
          <w:numId w:val="27"/>
        </w:numPr>
        <w:spacing w:after="160" w:line="240" w:lineRule="auto"/>
        <w:ind w:left="1134" w:right="15" w:hanging="425"/>
        <w:jc w:val="left"/>
        <w:rPr>
          <w:rFonts w:asciiTheme="minorHAnsi" w:hAnsiTheme="minorHAnsi" w:cstheme="minorHAnsi"/>
          <w:sz w:val="22"/>
        </w:rPr>
      </w:pPr>
      <w:r w:rsidRPr="00E61784">
        <w:rPr>
          <w:rFonts w:asciiTheme="minorHAnsi" w:hAnsiTheme="minorHAnsi" w:cstheme="minorHAnsi"/>
          <w:sz w:val="22"/>
        </w:rPr>
        <w:t xml:space="preserve">At least 1 (or 2) full, peer-reviewed conference paper accepted/presented. </w:t>
      </w:r>
    </w:p>
    <w:p w14:paraId="5976AD98" w14:textId="77777777" w:rsidR="00CA2CEE" w:rsidRPr="00E61784" w:rsidRDefault="00CA2CEE" w:rsidP="00A962C4">
      <w:pPr>
        <w:pStyle w:val="ListParagraph"/>
        <w:numPr>
          <w:ilvl w:val="1"/>
          <w:numId w:val="27"/>
        </w:numPr>
        <w:spacing w:after="160" w:line="240" w:lineRule="auto"/>
        <w:ind w:left="1134" w:right="15" w:hanging="425"/>
        <w:jc w:val="left"/>
        <w:rPr>
          <w:rFonts w:asciiTheme="minorHAnsi" w:hAnsiTheme="minorHAnsi" w:cstheme="minorHAnsi"/>
          <w:sz w:val="22"/>
        </w:rPr>
      </w:pPr>
      <w:r w:rsidRPr="00E61784">
        <w:rPr>
          <w:rFonts w:asciiTheme="minorHAnsi" w:hAnsiTheme="minorHAnsi" w:cstheme="minorHAnsi"/>
          <w:sz w:val="22"/>
        </w:rPr>
        <w:t>One journal paper submitted, preferably with the first round of reviewers’ comments received</w:t>
      </w:r>
    </w:p>
    <w:p w14:paraId="38EE787C" w14:textId="77777777" w:rsidR="00CA2CEE" w:rsidRPr="00E61784" w:rsidRDefault="00CA2CEE" w:rsidP="00A962C4">
      <w:pPr>
        <w:pStyle w:val="ListParagraph"/>
        <w:numPr>
          <w:ilvl w:val="1"/>
          <w:numId w:val="27"/>
        </w:numPr>
        <w:spacing w:after="160" w:line="240" w:lineRule="auto"/>
        <w:ind w:left="1134" w:right="15" w:hanging="425"/>
        <w:jc w:val="left"/>
        <w:rPr>
          <w:rFonts w:asciiTheme="minorHAnsi" w:hAnsiTheme="minorHAnsi" w:cstheme="minorHAnsi"/>
          <w:sz w:val="22"/>
        </w:rPr>
      </w:pPr>
      <w:r w:rsidRPr="00E61784">
        <w:rPr>
          <w:rFonts w:asciiTheme="minorHAnsi" w:hAnsiTheme="minorHAnsi" w:cstheme="minorHAnsi"/>
          <w:sz w:val="22"/>
        </w:rPr>
        <w:t>One preliminary patent application was filed (primary authorship required)</w:t>
      </w:r>
    </w:p>
    <w:p w14:paraId="2F9105D7" w14:textId="17BB56B8" w:rsidR="00CA2CEE" w:rsidRPr="00E61784" w:rsidRDefault="00CA2CEE" w:rsidP="00A962C4">
      <w:pPr>
        <w:pStyle w:val="ListParagraph"/>
        <w:numPr>
          <w:ilvl w:val="1"/>
          <w:numId w:val="27"/>
        </w:numPr>
        <w:spacing w:after="160" w:line="240" w:lineRule="auto"/>
        <w:ind w:left="1134" w:right="15" w:hanging="425"/>
        <w:jc w:val="left"/>
        <w:rPr>
          <w:rFonts w:asciiTheme="minorHAnsi" w:hAnsiTheme="minorHAnsi" w:cstheme="minorHAnsi"/>
          <w:sz w:val="22"/>
        </w:rPr>
      </w:pPr>
      <w:r w:rsidRPr="00E61784">
        <w:rPr>
          <w:rFonts w:asciiTheme="minorHAnsi" w:hAnsiTheme="minorHAnsi" w:cstheme="minorHAnsi"/>
          <w:sz w:val="22"/>
        </w:rPr>
        <w:t xml:space="preserve">Note that </w:t>
      </w:r>
      <w:r w:rsidR="00D3630B" w:rsidRPr="00E61784">
        <w:rPr>
          <w:rFonts w:asciiTheme="minorHAnsi" w:hAnsiTheme="minorHAnsi" w:cstheme="minorHAnsi"/>
          <w:sz w:val="22"/>
        </w:rPr>
        <w:t xml:space="preserve">any </w:t>
      </w:r>
      <w:r w:rsidRPr="00E61784">
        <w:rPr>
          <w:rFonts w:asciiTheme="minorHAnsi" w:hAnsiTheme="minorHAnsi" w:cstheme="minorHAnsi"/>
          <w:sz w:val="22"/>
        </w:rPr>
        <w:t xml:space="preserve">conference, </w:t>
      </w:r>
      <w:r w:rsidR="00D3630B" w:rsidRPr="00E61784">
        <w:rPr>
          <w:rFonts w:asciiTheme="minorHAnsi" w:hAnsiTheme="minorHAnsi" w:cstheme="minorHAnsi"/>
          <w:sz w:val="22"/>
        </w:rPr>
        <w:t>j</w:t>
      </w:r>
      <w:r w:rsidRPr="00E61784">
        <w:rPr>
          <w:rFonts w:asciiTheme="minorHAnsi" w:hAnsiTheme="minorHAnsi" w:cstheme="minorHAnsi"/>
          <w:sz w:val="22"/>
        </w:rPr>
        <w:t>ournal papers/patent application</w:t>
      </w:r>
      <w:r w:rsidR="00D3630B" w:rsidRPr="00E61784">
        <w:rPr>
          <w:rFonts w:asciiTheme="minorHAnsi" w:hAnsiTheme="minorHAnsi" w:cstheme="minorHAnsi"/>
          <w:sz w:val="22"/>
        </w:rPr>
        <w:t>,</w:t>
      </w:r>
      <w:r w:rsidRPr="00E61784">
        <w:rPr>
          <w:rFonts w:asciiTheme="minorHAnsi" w:hAnsiTheme="minorHAnsi" w:cstheme="minorHAnsi"/>
          <w:sz w:val="22"/>
        </w:rPr>
        <w:t xml:space="preserve"> must be based on the </w:t>
      </w:r>
      <w:r w:rsidR="00D3630B" w:rsidRPr="00E61784">
        <w:rPr>
          <w:rFonts w:asciiTheme="minorHAnsi" w:hAnsiTheme="minorHAnsi" w:cstheme="minorHAnsi"/>
          <w:sz w:val="22"/>
        </w:rPr>
        <w:t xml:space="preserve">student’s </w:t>
      </w:r>
      <w:r w:rsidRPr="00E61784">
        <w:rPr>
          <w:rFonts w:asciiTheme="minorHAnsi" w:hAnsiTheme="minorHAnsi" w:cstheme="minorHAnsi"/>
          <w:sz w:val="22"/>
        </w:rPr>
        <w:t>MSc research</w:t>
      </w:r>
    </w:p>
    <w:p w14:paraId="6999C5F2" w14:textId="705303DA" w:rsidR="00CA2CEE" w:rsidRPr="00AC306C" w:rsidRDefault="00CA2CEE" w:rsidP="00A962C4">
      <w:pPr>
        <w:pStyle w:val="ListParagraph"/>
        <w:numPr>
          <w:ilvl w:val="0"/>
          <w:numId w:val="27"/>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There is an understanding that once accepted to the PhD program, the student will complete the PhD comprehensive examination.  If unsuccessful with the reapplication of PhD comprehensive exam, the student will be </w:t>
      </w:r>
      <w:r w:rsidR="00D3630B" w:rsidRPr="00E61784">
        <w:rPr>
          <w:rFonts w:asciiTheme="minorHAnsi" w:hAnsiTheme="minorHAnsi" w:cstheme="minorHAnsi"/>
          <w:sz w:val="22"/>
        </w:rPr>
        <w:t>required to withdraw from</w:t>
      </w:r>
      <w:r w:rsidRPr="00E61784">
        <w:rPr>
          <w:rFonts w:asciiTheme="minorHAnsi" w:hAnsiTheme="minorHAnsi" w:cstheme="minorHAnsi"/>
          <w:sz w:val="22"/>
        </w:rPr>
        <w:t xml:space="preserve"> the graduate program and not downgraded to a M</w:t>
      </w:r>
      <w:r w:rsidR="00D3630B" w:rsidRPr="00E61784">
        <w:rPr>
          <w:rFonts w:asciiTheme="minorHAnsi" w:hAnsiTheme="minorHAnsi" w:cstheme="minorHAnsi"/>
          <w:sz w:val="22"/>
        </w:rPr>
        <w:t>Sc</w:t>
      </w:r>
      <w:r w:rsidRPr="00E61784">
        <w:rPr>
          <w:rFonts w:asciiTheme="minorHAnsi" w:hAnsiTheme="minorHAnsi" w:cstheme="minorHAnsi"/>
          <w:sz w:val="22"/>
        </w:rPr>
        <w:t xml:space="preserve"> unless there are extenuating </w:t>
      </w:r>
      <w:r w:rsidRPr="00AC306C">
        <w:rPr>
          <w:rFonts w:asciiTheme="minorHAnsi" w:hAnsiTheme="minorHAnsi" w:cstheme="minorHAnsi"/>
          <w:sz w:val="22"/>
        </w:rPr>
        <w:t xml:space="preserve">circumstances. </w:t>
      </w:r>
    </w:p>
    <w:p w14:paraId="4B4BC1A2" w14:textId="77777777" w:rsidR="00CA2CEE" w:rsidRPr="00AC306C" w:rsidRDefault="00CA2CEE" w:rsidP="00AC306C">
      <w:pPr>
        <w:pStyle w:val="Default"/>
        <w:ind w:right="15"/>
        <w:rPr>
          <w:rFonts w:asciiTheme="minorHAnsi" w:hAnsiTheme="minorHAnsi" w:cstheme="minorHAnsi"/>
          <w:sz w:val="22"/>
          <w:szCs w:val="22"/>
        </w:rPr>
      </w:pPr>
    </w:p>
    <w:p w14:paraId="34505332" w14:textId="60045F81" w:rsidR="00CA2CEE" w:rsidRDefault="00CA2CEE" w:rsidP="00AC306C">
      <w:pPr>
        <w:spacing w:after="0" w:line="240" w:lineRule="auto"/>
        <w:ind w:left="-5" w:right="15"/>
        <w:rPr>
          <w:rFonts w:asciiTheme="minorHAnsi" w:hAnsiTheme="minorHAnsi" w:cstheme="minorHAnsi"/>
          <w:sz w:val="22"/>
        </w:rPr>
      </w:pPr>
      <w:r w:rsidRPr="00AC306C">
        <w:rPr>
          <w:rFonts w:asciiTheme="minorHAnsi" w:hAnsiTheme="minorHAnsi" w:cstheme="minorHAnsi"/>
          <w:sz w:val="22"/>
        </w:rPr>
        <w:t xml:space="preserve">The guidelines/steps for transfer from MSc to PhD program are as follows: </w:t>
      </w:r>
    </w:p>
    <w:p w14:paraId="22D0BAFF" w14:textId="77777777" w:rsidR="00AC306C" w:rsidRPr="00AC306C" w:rsidRDefault="00AC306C" w:rsidP="00AC306C">
      <w:pPr>
        <w:spacing w:after="0" w:line="240" w:lineRule="auto"/>
        <w:ind w:left="-5" w:right="15"/>
        <w:rPr>
          <w:rFonts w:asciiTheme="minorHAnsi" w:hAnsiTheme="minorHAnsi" w:cstheme="minorHAnsi"/>
          <w:sz w:val="22"/>
        </w:rPr>
      </w:pPr>
    </w:p>
    <w:p w14:paraId="7412AC95" w14:textId="77777777" w:rsidR="007960DB" w:rsidRDefault="00CA2CEE" w:rsidP="009F0A91">
      <w:pPr>
        <w:pStyle w:val="Default"/>
        <w:numPr>
          <w:ilvl w:val="0"/>
          <w:numId w:val="28"/>
        </w:numPr>
        <w:ind w:left="709" w:right="15" w:hanging="425"/>
        <w:rPr>
          <w:rFonts w:asciiTheme="minorHAnsi" w:hAnsiTheme="minorHAnsi" w:cstheme="minorHAnsi"/>
          <w:sz w:val="22"/>
          <w:szCs w:val="22"/>
        </w:rPr>
      </w:pPr>
      <w:r w:rsidRPr="00AC306C">
        <w:rPr>
          <w:rFonts w:asciiTheme="minorHAnsi" w:hAnsiTheme="minorHAnsi" w:cstheme="minorHAnsi"/>
          <w:sz w:val="22"/>
          <w:szCs w:val="22"/>
        </w:rPr>
        <w:t>The request for transfer should normally be submitted to the Associate Dean of Graduate Studies &amp; Research by the corresponding supervisor.</w:t>
      </w:r>
    </w:p>
    <w:p w14:paraId="08947BDC" w14:textId="786C76B3" w:rsidR="00CA2CEE" w:rsidRPr="00AC306C" w:rsidRDefault="00CA2CEE" w:rsidP="007960DB">
      <w:pPr>
        <w:pStyle w:val="Default"/>
        <w:ind w:left="284" w:right="15"/>
        <w:rPr>
          <w:rFonts w:asciiTheme="minorHAnsi" w:hAnsiTheme="minorHAnsi" w:cstheme="minorHAnsi"/>
          <w:sz w:val="22"/>
          <w:szCs w:val="22"/>
        </w:rPr>
      </w:pPr>
      <w:r w:rsidRPr="00AC306C">
        <w:rPr>
          <w:rFonts w:asciiTheme="minorHAnsi" w:hAnsiTheme="minorHAnsi" w:cstheme="minorHAnsi"/>
          <w:sz w:val="22"/>
          <w:szCs w:val="22"/>
        </w:rPr>
        <w:t xml:space="preserve"> </w:t>
      </w:r>
    </w:p>
    <w:p w14:paraId="43606078" w14:textId="0B73BE34" w:rsidR="00CA2CEE" w:rsidRDefault="00CA2CEE" w:rsidP="009F0A91">
      <w:pPr>
        <w:pStyle w:val="Default"/>
        <w:numPr>
          <w:ilvl w:val="0"/>
          <w:numId w:val="28"/>
        </w:numPr>
        <w:ind w:left="709" w:right="15" w:hanging="425"/>
        <w:rPr>
          <w:rFonts w:asciiTheme="minorHAnsi" w:hAnsiTheme="minorHAnsi" w:cstheme="minorHAnsi"/>
          <w:sz w:val="22"/>
          <w:szCs w:val="22"/>
        </w:rPr>
      </w:pPr>
      <w:r w:rsidRPr="00AC306C">
        <w:rPr>
          <w:rFonts w:asciiTheme="minorHAnsi" w:hAnsiTheme="minorHAnsi" w:cstheme="minorHAnsi"/>
          <w:sz w:val="22"/>
          <w:szCs w:val="22"/>
        </w:rPr>
        <w:t xml:space="preserve">The Associate Dean of Graduate Studies &amp; Research and the corresponding supervisor will meet to explain to the student the requirements for completing the PhD program. </w:t>
      </w:r>
    </w:p>
    <w:p w14:paraId="72547DEB" w14:textId="77777777" w:rsidR="007960DB" w:rsidRPr="00AC306C" w:rsidRDefault="007960DB" w:rsidP="007960DB">
      <w:pPr>
        <w:pStyle w:val="Default"/>
        <w:ind w:right="15"/>
        <w:rPr>
          <w:rFonts w:asciiTheme="minorHAnsi" w:hAnsiTheme="minorHAnsi" w:cstheme="minorHAnsi"/>
          <w:sz w:val="22"/>
          <w:szCs w:val="22"/>
        </w:rPr>
      </w:pPr>
    </w:p>
    <w:p w14:paraId="6361A240" w14:textId="0C644E16" w:rsidR="00CA2CEE" w:rsidRDefault="00CA2CEE" w:rsidP="009F0A91">
      <w:pPr>
        <w:pStyle w:val="Default"/>
        <w:numPr>
          <w:ilvl w:val="0"/>
          <w:numId w:val="28"/>
        </w:numPr>
        <w:ind w:left="709" w:right="15" w:hanging="425"/>
        <w:rPr>
          <w:rFonts w:asciiTheme="minorHAnsi" w:hAnsiTheme="minorHAnsi" w:cstheme="minorHAnsi"/>
          <w:sz w:val="22"/>
          <w:szCs w:val="22"/>
        </w:rPr>
      </w:pPr>
      <w:r w:rsidRPr="00AC306C">
        <w:rPr>
          <w:rFonts w:asciiTheme="minorHAnsi" w:hAnsiTheme="minorHAnsi" w:cstheme="minorHAnsi"/>
          <w:sz w:val="22"/>
          <w:szCs w:val="22"/>
        </w:rPr>
        <w:t xml:space="preserve">The student will submit a written report on his/her research progress and </w:t>
      </w:r>
      <w:r w:rsidR="00D3630B" w:rsidRPr="00AC306C">
        <w:rPr>
          <w:rFonts w:asciiTheme="minorHAnsi" w:hAnsiTheme="minorHAnsi" w:cstheme="minorHAnsi"/>
          <w:sz w:val="22"/>
          <w:szCs w:val="22"/>
        </w:rPr>
        <w:t xml:space="preserve">provide </w:t>
      </w:r>
      <w:r w:rsidRPr="00AC306C">
        <w:rPr>
          <w:rFonts w:asciiTheme="minorHAnsi" w:hAnsiTheme="minorHAnsi" w:cstheme="minorHAnsi"/>
          <w:sz w:val="22"/>
          <w:szCs w:val="22"/>
        </w:rPr>
        <w:t xml:space="preserve">an oral presentation of this material to the Supervisory Committee. Based on the report and oral presentation, the </w:t>
      </w:r>
      <w:r w:rsidRPr="00AC306C">
        <w:rPr>
          <w:rFonts w:asciiTheme="minorHAnsi" w:hAnsiTheme="minorHAnsi" w:cstheme="minorHAnsi"/>
          <w:sz w:val="22"/>
          <w:szCs w:val="22"/>
        </w:rPr>
        <w:lastRenderedPageBreak/>
        <w:t xml:space="preserve">Supervisory Committee will determine the student’s eligibility to transfer to the PhD </w:t>
      </w:r>
      <w:r w:rsidR="00D3630B" w:rsidRPr="00AC306C">
        <w:rPr>
          <w:rFonts w:asciiTheme="minorHAnsi" w:hAnsiTheme="minorHAnsi" w:cstheme="minorHAnsi"/>
          <w:sz w:val="22"/>
          <w:szCs w:val="22"/>
        </w:rPr>
        <w:t xml:space="preserve">program </w:t>
      </w:r>
      <w:r w:rsidRPr="00AC306C">
        <w:rPr>
          <w:rFonts w:asciiTheme="minorHAnsi" w:hAnsiTheme="minorHAnsi" w:cstheme="minorHAnsi"/>
          <w:sz w:val="22"/>
          <w:szCs w:val="22"/>
        </w:rPr>
        <w:t>and recommend</w:t>
      </w:r>
      <w:r w:rsidR="00D3630B" w:rsidRPr="00AC306C">
        <w:rPr>
          <w:rFonts w:asciiTheme="minorHAnsi" w:hAnsiTheme="minorHAnsi" w:cstheme="minorHAnsi"/>
          <w:sz w:val="22"/>
          <w:szCs w:val="22"/>
        </w:rPr>
        <w:t xml:space="preserve"> the student </w:t>
      </w:r>
      <w:r w:rsidRPr="00AC306C">
        <w:rPr>
          <w:rFonts w:asciiTheme="minorHAnsi" w:hAnsiTheme="minorHAnsi" w:cstheme="minorHAnsi"/>
          <w:sz w:val="22"/>
          <w:szCs w:val="22"/>
        </w:rPr>
        <w:t xml:space="preserve">transfer from </w:t>
      </w:r>
      <w:r w:rsidR="00D3630B" w:rsidRPr="00AC306C">
        <w:rPr>
          <w:rFonts w:asciiTheme="minorHAnsi" w:hAnsiTheme="minorHAnsi" w:cstheme="minorHAnsi"/>
          <w:sz w:val="22"/>
          <w:szCs w:val="22"/>
        </w:rPr>
        <w:t xml:space="preserve">the </w:t>
      </w:r>
      <w:r w:rsidRPr="00AC306C">
        <w:rPr>
          <w:rFonts w:asciiTheme="minorHAnsi" w:hAnsiTheme="minorHAnsi" w:cstheme="minorHAnsi"/>
          <w:sz w:val="22"/>
          <w:szCs w:val="22"/>
        </w:rPr>
        <w:t xml:space="preserve">MSc to </w:t>
      </w:r>
      <w:r w:rsidR="00D3630B" w:rsidRPr="00AC306C">
        <w:rPr>
          <w:rFonts w:asciiTheme="minorHAnsi" w:hAnsiTheme="minorHAnsi" w:cstheme="minorHAnsi"/>
          <w:sz w:val="22"/>
          <w:szCs w:val="22"/>
        </w:rPr>
        <w:t xml:space="preserve">the </w:t>
      </w:r>
      <w:r w:rsidRPr="00AC306C">
        <w:rPr>
          <w:rFonts w:asciiTheme="minorHAnsi" w:hAnsiTheme="minorHAnsi" w:cstheme="minorHAnsi"/>
          <w:sz w:val="22"/>
          <w:szCs w:val="22"/>
        </w:rPr>
        <w:t xml:space="preserve">PhD program. </w:t>
      </w:r>
    </w:p>
    <w:p w14:paraId="7F144FFF" w14:textId="77777777" w:rsidR="007960DB" w:rsidRPr="00AC306C" w:rsidRDefault="007960DB" w:rsidP="007960DB">
      <w:pPr>
        <w:pStyle w:val="Default"/>
        <w:ind w:right="15"/>
        <w:rPr>
          <w:rFonts w:asciiTheme="minorHAnsi" w:hAnsiTheme="minorHAnsi" w:cstheme="minorHAnsi"/>
          <w:sz w:val="22"/>
          <w:szCs w:val="22"/>
        </w:rPr>
      </w:pPr>
    </w:p>
    <w:p w14:paraId="339A561B" w14:textId="4A590E26" w:rsidR="00CA2CEE" w:rsidRDefault="00CA2CEE" w:rsidP="00B60E16">
      <w:pPr>
        <w:pStyle w:val="Default"/>
        <w:numPr>
          <w:ilvl w:val="0"/>
          <w:numId w:val="28"/>
        </w:numPr>
        <w:ind w:left="709" w:right="15" w:hanging="425"/>
        <w:rPr>
          <w:sz w:val="22"/>
          <w:szCs w:val="22"/>
        </w:rPr>
      </w:pPr>
      <w:r w:rsidRPr="00E61784">
        <w:rPr>
          <w:sz w:val="22"/>
          <w:szCs w:val="22"/>
        </w:rPr>
        <w:t>A Supervisory Committee report</w:t>
      </w:r>
      <w:r w:rsidR="00D3630B" w:rsidRPr="00E61784">
        <w:rPr>
          <w:sz w:val="22"/>
          <w:szCs w:val="22"/>
        </w:rPr>
        <w:t>,</w:t>
      </w:r>
      <w:r w:rsidRPr="00E61784">
        <w:rPr>
          <w:sz w:val="22"/>
          <w:szCs w:val="22"/>
        </w:rPr>
        <w:t xml:space="preserve"> along with a Program of Study form</w:t>
      </w:r>
      <w:r w:rsidR="00D3630B" w:rsidRPr="00E61784">
        <w:rPr>
          <w:sz w:val="22"/>
          <w:szCs w:val="22"/>
        </w:rPr>
        <w:t>,</w:t>
      </w:r>
      <w:r w:rsidRPr="00E61784">
        <w:rPr>
          <w:sz w:val="22"/>
          <w:szCs w:val="22"/>
        </w:rPr>
        <w:t xml:space="preserve"> must be submitted to the Graduate Studies &amp; Research Committee of the School of Pharmacy, indicating the change in status.  The Associate Dean of Graduate Studies &amp; Research must support the transfer request.</w:t>
      </w:r>
    </w:p>
    <w:p w14:paraId="5580A803" w14:textId="77777777" w:rsidR="007960DB" w:rsidRPr="00E61784" w:rsidRDefault="007960DB" w:rsidP="007960DB">
      <w:pPr>
        <w:pStyle w:val="Default"/>
        <w:ind w:right="15"/>
        <w:rPr>
          <w:sz w:val="22"/>
          <w:szCs w:val="22"/>
        </w:rPr>
      </w:pPr>
    </w:p>
    <w:p w14:paraId="42E61004" w14:textId="6C08F96F" w:rsidR="00CA2CEE" w:rsidRPr="00E61784" w:rsidRDefault="00CA2CEE" w:rsidP="00B60E16">
      <w:pPr>
        <w:pStyle w:val="Default"/>
        <w:numPr>
          <w:ilvl w:val="0"/>
          <w:numId w:val="28"/>
        </w:numPr>
        <w:ind w:left="709" w:right="15" w:hanging="425"/>
        <w:rPr>
          <w:sz w:val="22"/>
          <w:szCs w:val="22"/>
        </w:rPr>
      </w:pPr>
      <w:r w:rsidRPr="00E61784">
        <w:rPr>
          <w:sz w:val="22"/>
          <w:szCs w:val="22"/>
        </w:rPr>
        <w:t xml:space="preserve">The final decision for transfer from </w:t>
      </w:r>
      <w:r w:rsidR="00B73CB1" w:rsidRPr="00E61784">
        <w:rPr>
          <w:sz w:val="22"/>
          <w:szCs w:val="22"/>
        </w:rPr>
        <w:t xml:space="preserve">the </w:t>
      </w:r>
      <w:r w:rsidRPr="00E61784">
        <w:rPr>
          <w:sz w:val="22"/>
          <w:szCs w:val="22"/>
        </w:rPr>
        <w:t xml:space="preserve">MSc </w:t>
      </w:r>
      <w:r w:rsidR="00B73CB1" w:rsidRPr="00E61784">
        <w:rPr>
          <w:sz w:val="22"/>
          <w:szCs w:val="22"/>
        </w:rPr>
        <w:t xml:space="preserve">program </w:t>
      </w:r>
      <w:r w:rsidRPr="00E61784">
        <w:rPr>
          <w:sz w:val="22"/>
          <w:szCs w:val="22"/>
        </w:rPr>
        <w:t xml:space="preserve">to </w:t>
      </w:r>
      <w:r w:rsidR="00B73CB1" w:rsidRPr="00E61784">
        <w:rPr>
          <w:sz w:val="22"/>
          <w:szCs w:val="22"/>
        </w:rPr>
        <w:t xml:space="preserve">the </w:t>
      </w:r>
      <w:r w:rsidRPr="00E61784">
        <w:rPr>
          <w:sz w:val="22"/>
          <w:szCs w:val="22"/>
        </w:rPr>
        <w:t>PhD</w:t>
      </w:r>
      <w:r w:rsidR="00B73CB1" w:rsidRPr="00E61784">
        <w:rPr>
          <w:sz w:val="22"/>
          <w:szCs w:val="22"/>
        </w:rPr>
        <w:t xml:space="preserve"> program</w:t>
      </w:r>
      <w:r w:rsidRPr="00E61784">
        <w:rPr>
          <w:sz w:val="22"/>
          <w:szCs w:val="22"/>
        </w:rPr>
        <w:t xml:space="preserve"> will be made by the Dean of the School of Graduate Studies.</w:t>
      </w:r>
      <w:r w:rsidR="00A74110">
        <w:rPr>
          <w:sz w:val="22"/>
          <w:szCs w:val="22"/>
        </w:rPr>
        <w:t xml:space="preserve"> </w:t>
      </w:r>
      <w:r w:rsidRPr="00E61784">
        <w:rPr>
          <w:sz w:val="22"/>
          <w:szCs w:val="22"/>
        </w:rPr>
        <w:t xml:space="preserve">See the details at: </w:t>
      </w:r>
      <w:r w:rsidRPr="00E61784">
        <w:rPr>
          <w:color w:val="0461C1"/>
          <w:sz w:val="22"/>
          <w:szCs w:val="22"/>
        </w:rPr>
        <w:t>https://www.mun.ca/regoff/calendar/sectionNo=GRAD-0437)</w:t>
      </w:r>
    </w:p>
    <w:p w14:paraId="5E99355D" w14:textId="11724013" w:rsidR="006E5D8F" w:rsidRPr="001F0ED9" w:rsidRDefault="006E5D8F" w:rsidP="008305ED">
      <w:pPr>
        <w:spacing w:after="16" w:line="240" w:lineRule="auto"/>
        <w:ind w:left="0" w:right="15" w:firstLine="0"/>
        <w:jc w:val="left"/>
        <w:rPr>
          <w:rFonts w:asciiTheme="minorHAnsi" w:hAnsiTheme="minorHAnsi" w:cstheme="minorHAnsi"/>
          <w:sz w:val="22"/>
        </w:rPr>
      </w:pPr>
    </w:p>
    <w:p w14:paraId="36A12467" w14:textId="77777777" w:rsidR="006E5D8F" w:rsidRPr="00E5721F" w:rsidRDefault="00D30958" w:rsidP="008305ED">
      <w:pPr>
        <w:pStyle w:val="Heading3"/>
        <w:spacing w:line="240" w:lineRule="auto"/>
        <w:ind w:right="15"/>
        <w:rPr>
          <w:rFonts w:asciiTheme="minorHAnsi" w:hAnsiTheme="minorHAnsi" w:cstheme="minorHAnsi"/>
          <w:sz w:val="24"/>
          <w:szCs w:val="24"/>
        </w:rPr>
      </w:pPr>
      <w:bookmarkStart w:id="7" w:name="_Toc111554535"/>
      <w:r w:rsidRPr="00E5721F">
        <w:rPr>
          <w:rFonts w:asciiTheme="minorHAnsi" w:hAnsiTheme="minorHAnsi" w:cstheme="minorHAnsi"/>
          <w:sz w:val="24"/>
          <w:szCs w:val="24"/>
        </w:rPr>
        <w:t>Master’s Thesis</w:t>
      </w:r>
      <w:bookmarkEnd w:id="7"/>
      <w:r w:rsidRPr="00E5721F">
        <w:rPr>
          <w:rFonts w:asciiTheme="minorHAnsi" w:hAnsiTheme="minorHAnsi" w:cstheme="minorHAnsi"/>
          <w:sz w:val="24"/>
          <w:szCs w:val="24"/>
        </w:rPr>
        <w:t xml:space="preserve"> </w:t>
      </w:r>
    </w:p>
    <w:p w14:paraId="7F4FE107" w14:textId="49CDB58F" w:rsidR="007A2BD9" w:rsidRPr="007A2BD9" w:rsidRDefault="00D30958" w:rsidP="00F00327">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Guidelines for submission of a thesis can be found at: </w:t>
      </w:r>
      <w:hyperlink r:id="rId13" w:history="1">
        <w:r w:rsidR="007A2BD9" w:rsidRPr="00267AC3">
          <w:rPr>
            <w:rStyle w:val="Hyperlink"/>
            <w:rFonts w:asciiTheme="minorHAnsi" w:hAnsiTheme="minorHAnsi" w:cstheme="minorHAnsi"/>
            <w:sz w:val="22"/>
          </w:rPr>
          <w:t>https://www.mun.ca/sgs/go/guid_policies/theses.php</w:t>
        </w:r>
      </w:hyperlink>
      <w:r w:rsidR="007A2BD9">
        <w:rPr>
          <w:rFonts w:asciiTheme="minorHAnsi" w:hAnsiTheme="minorHAnsi" w:cstheme="minorHAnsi"/>
          <w:sz w:val="22"/>
        </w:rPr>
        <w:t xml:space="preserve">. </w:t>
      </w:r>
    </w:p>
    <w:p w14:paraId="5B1C4EE3" w14:textId="77777777" w:rsidR="006E5D8F" w:rsidRPr="001F0ED9" w:rsidRDefault="006E5D8F" w:rsidP="008305ED">
      <w:pPr>
        <w:spacing w:line="240" w:lineRule="auto"/>
        <w:ind w:left="-5" w:right="15"/>
        <w:jc w:val="left"/>
        <w:rPr>
          <w:rFonts w:asciiTheme="minorHAnsi" w:hAnsiTheme="minorHAnsi" w:cstheme="minorHAnsi"/>
          <w:sz w:val="22"/>
        </w:rPr>
      </w:pPr>
    </w:p>
    <w:p w14:paraId="43314701" w14:textId="77777777" w:rsidR="006E5D8F" w:rsidRPr="00B06BD8" w:rsidRDefault="00D30958" w:rsidP="008305ED">
      <w:pPr>
        <w:spacing w:after="0" w:line="240" w:lineRule="auto"/>
        <w:ind w:left="0" w:right="15" w:firstLine="0"/>
        <w:jc w:val="left"/>
        <w:rPr>
          <w:rFonts w:asciiTheme="minorHAnsi" w:hAnsiTheme="minorHAnsi" w:cstheme="minorHAnsi"/>
          <w:bCs/>
          <w:i/>
          <w:iCs/>
          <w:szCs w:val="24"/>
          <w:u w:val="single"/>
        </w:rPr>
      </w:pPr>
      <w:r w:rsidRPr="00B06BD8">
        <w:rPr>
          <w:rFonts w:asciiTheme="minorHAnsi" w:hAnsiTheme="minorHAnsi" w:cstheme="minorHAnsi"/>
          <w:bCs/>
          <w:i/>
          <w:iCs/>
          <w:szCs w:val="24"/>
          <w:u w:val="single"/>
        </w:rPr>
        <w:t xml:space="preserve">Submission </w:t>
      </w:r>
    </w:p>
    <w:p w14:paraId="78BE3D80" w14:textId="7AA4FE23" w:rsidR="006E5D8F" w:rsidRDefault="00D30958" w:rsidP="00F00327">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Students who wish to graduate from the MSc program must submit their thesis for examination at least four months before the university convocation at which the awarding of the degree is expected.</w:t>
      </w:r>
      <w:r w:rsidR="00E61784">
        <w:rPr>
          <w:rFonts w:asciiTheme="minorHAnsi" w:hAnsiTheme="minorHAnsi" w:cstheme="minorHAnsi"/>
          <w:sz w:val="22"/>
        </w:rPr>
        <w:t xml:space="preserve"> </w:t>
      </w:r>
      <w:r w:rsidRPr="001F0ED9">
        <w:rPr>
          <w:rFonts w:asciiTheme="minorHAnsi" w:hAnsiTheme="minorHAnsi" w:cstheme="minorHAnsi"/>
          <w:sz w:val="22"/>
        </w:rPr>
        <w:t xml:space="preserve">Candidates must submit: </w:t>
      </w:r>
    </w:p>
    <w:p w14:paraId="26B68A50" w14:textId="77777777" w:rsidR="00F00327" w:rsidRPr="001F0ED9" w:rsidRDefault="00F00327" w:rsidP="00F00327">
      <w:pPr>
        <w:spacing w:after="0" w:line="240" w:lineRule="auto"/>
        <w:ind w:left="0" w:right="15" w:firstLine="0"/>
        <w:jc w:val="left"/>
        <w:rPr>
          <w:rFonts w:asciiTheme="minorHAnsi" w:hAnsiTheme="minorHAnsi" w:cstheme="minorHAnsi"/>
          <w:sz w:val="22"/>
        </w:rPr>
      </w:pPr>
    </w:p>
    <w:p w14:paraId="354A4858" w14:textId="77777777" w:rsidR="006E5D8F" w:rsidRPr="001F0ED9" w:rsidRDefault="00D30958" w:rsidP="008305ED">
      <w:pPr>
        <w:numPr>
          <w:ilvl w:val="0"/>
          <w:numId w:val="7"/>
        </w:numPr>
        <w:spacing w:line="240" w:lineRule="auto"/>
        <w:ind w:right="15" w:hanging="360"/>
        <w:jc w:val="left"/>
        <w:rPr>
          <w:rFonts w:asciiTheme="minorHAnsi" w:hAnsiTheme="minorHAnsi" w:cstheme="minorHAnsi"/>
          <w:sz w:val="22"/>
        </w:rPr>
      </w:pPr>
      <w:r w:rsidRPr="001F0ED9">
        <w:rPr>
          <w:rFonts w:asciiTheme="minorHAnsi" w:hAnsiTheme="minorHAnsi" w:cstheme="minorHAnsi"/>
          <w:sz w:val="22"/>
        </w:rPr>
        <w:t xml:space="preserve">A completed “Application for Graduate Degrees and Diplomas” form to the Office of the Registrar;  </w:t>
      </w:r>
    </w:p>
    <w:p w14:paraId="7DC620B8" w14:textId="0AB7866E" w:rsidR="006E5D8F" w:rsidRPr="001F0ED9" w:rsidRDefault="00D30958" w:rsidP="008305ED">
      <w:pPr>
        <w:numPr>
          <w:ilvl w:val="0"/>
          <w:numId w:val="7"/>
        </w:numPr>
        <w:spacing w:line="240" w:lineRule="auto"/>
        <w:ind w:right="15" w:hanging="360"/>
        <w:jc w:val="left"/>
        <w:rPr>
          <w:rFonts w:asciiTheme="minorHAnsi" w:hAnsiTheme="minorHAnsi" w:cstheme="minorHAnsi"/>
          <w:sz w:val="22"/>
        </w:rPr>
      </w:pPr>
      <w:r w:rsidRPr="001F0ED9">
        <w:rPr>
          <w:rFonts w:asciiTheme="minorHAnsi" w:hAnsiTheme="minorHAnsi" w:cstheme="minorHAnsi"/>
          <w:sz w:val="22"/>
        </w:rPr>
        <w:t xml:space="preserve">The completed thesis </w:t>
      </w:r>
      <w:r w:rsidR="0055448E">
        <w:rPr>
          <w:rFonts w:asciiTheme="minorHAnsi" w:hAnsiTheme="minorHAnsi" w:cstheme="minorHAnsi"/>
          <w:sz w:val="22"/>
        </w:rPr>
        <w:t xml:space="preserve">in printed or electronic format </w:t>
      </w:r>
      <w:r w:rsidRPr="001F0ED9">
        <w:rPr>
          <w:rFonts w:asciiTheme="minorHAnsi" w:hAnsiTheme="minorHAnsi" w:cstheme="minorHAnsi"/>
          <w:sz w:val="22"/>
        </w:rPr>
        <w:t>along with completed and signed “</w:t>
      </w:r>
      <w:hyperlink r:id="rId14" w:history="1">
        <w:r w:rsidRPr="00FE30F1">
          <w:rPr>
            <w:rStyle w:val="Hyperlink"/>
            <w:rFonts w:asciiTheme="minorHAnsi" w:hAnsiTheme="minorHAnsi" w:cstheme="minorHAnsi"/>
            <w:sz w:val="22"/>
          </w:rPr>
          <w:t>Thesis Deposit Form</w:t>
        </w:r>
      </w:hyperlink>
      <w:r w:rsidRPr="001F0ED9">
        <w:rPr>
          <w:rFonts w:asciiTheme="minorHAnsi" w:hAnsiTheme="minorHAnsi" w:cstheme="minorHAnsi"/>
          <w:sz w:val="22"/>
        </w:rPr>
        <w:t xml:space="preserve">”; </w:t>
      </w:r>
    </w:p>
    <w:p w14:paraId="34E2415C" w14:textId="43E4F3CE" w:rsidR="006E5D8F" w:rsidRDefault="00D30958" w:rsidP="008305ED">
      <w:pPr>
        <w:numPr>
          <w:ilvl w:val="0"/>
          <w:numId w:val="7"/>
        </w:numPr>
        <w:spacing w:line="240" w:lineRule="auto"/>
        <w:ind w:right="15" w:hanging="360"/>
        <w:jc w:val="left"/>
        <w:rPr>
          <w:rFonts w:asciiTheme="minorHAnsi" w:hAnsiTheme="minorHAnsi" w:cstheme="minorHAnsi"/>
          <w:sz w:val="22"/>
        </w:rPr>
      </w:pPr>
      <w:r w:rsidRPr="001F0ED9">
        <w:rPr>
          <w:rFonts w:asciiTheme="minorHAnsi" w:hAnsiTheme="minorHAnsi" w:cstheme="minorHAnsi"/>
          <w:sz w:val="22"/>
        </w:rPr>
        <w:t>“</w:t>
      </w:r>
      <w:hyperlink r:id="rId15" w:history="1">
        <w:proofErr w:type="gramStart"/>
        <w:r w:rsidRPr="006F4133">
          <w:rPr>
            <w:rStyle w:val="Hyperlink"/>
            <w:rFonts w:asciiTheme="minorHAnsi" w:hAnsiTheme="minorHAnsi" w:cstheme="minorHAnsi"/>
            <w:sz w:val="22"/>
          </w:rPr>
          <w:t>Non Exclusive</w:t>
        </w:r>
        <w:proofErr w:type="gramEnd"/>
        <w:r w:rsidRPr="006F4133">
          <w:rPr>
            <w:rStyle w:val="Hyperlink"/>
            <w:rFonts w:asciiTheme="minorHAnsi" w:hAnsiTheme="minorHAnsi" w:cstheme="minorHAnsi"/>
            <w:sz w:val="22"/>
          </w:rPr>
          <w:t xml:space="preserve"> Licence to Reproduce</w:t>
        </w:r>
      </w:hyperlink>
      <w:r w:rsidRPr="001F0ED9">
        <w:rPr>
          <w:rFonts w:asciiTheme="minorHAnsi" w:hAnsiTheme="minorHAnsi" w:cstheme="minorHAnsi"/>
          <w:sz w:val="22"/>
        </w:rPr>
        <w:t xml:space="preserve">”; </w:t>
      </w:r>
    </w:p>
    <w:p w14:paraId="416A1062" w14:textId="77777777" w:rsidR="00F00327" w:rsidRPr="001F0ED9" w:rsidRDefault="00F00327" w:rsidP="00F00327">
      <w:pPr>
        <w:spacing w:line="240" w:lineRule="auto"/>
        <w:ind w:left="360" w:right="15" w:firstLine="0"/>
        <w:jc w:val="left"/>
        <w:rPr>
          <w:rFonts w:asciiTheme="minorHAnsi" w:hAnsiTheme="minorHAnsi" w:cstheme="minorHAnsi"/>
          <w:sz w:val="22"/>
        </w:rPr>
      </w:pPr>
    </w:p>
    <w:p w14:paraId="66F22C7A" w14:textId="443D9FDB" w:rsidR="006E5D8F" w:rsidRPr="001F0ED9" w:rsidRDefault="006472B4" w:rsidP="008305ED">
      <w:pPr>
        <w:spacing w:after="0" w:line="240" w:lineRule="auto"/>
        <w:ind w:left="-5" w:right="15"/>
        <w:jc w:val="left"/>
        <w:rPr>
          <w:rFonts w:asciiTheme="minorHAnsi" w:hAnsiTheme="minorHAnsi" w:cstheme="minorHAnsi"/>
          <w:sz w:val="22"/>
        </w:rPr>
      </w:pPr>
      <w:r>
        <w:rPr>
          <w:rFonts w:asciiTheme="minorHAnsi" w:hAnsiTheme="minorHAnsi" w:cstheme="minorHAnsi"/>
          <w:sz w:val="22"/>
        </w:rPr>
        <w:t xml:space="preserve">The </w:t>
      </w:r>
      <w:r w:rsidR="00D30958" w:rsidRPr="001F0ED9">
        <w:rPr>
          <w:rFonts w:asciiTheme="minorHAnsi" w:hAnsiTheme="minorHAnsi" w:cstheme="minorHAnsi"/>
          <w:sz w:val="22"/>
        </w:rPr>
        <w:t>“Request to Include Copyright Material” (Appendix 4), if required, must be submitted to the supervisor who, subsequent to the completion of the “Supervisory Committee Approval Form” (Appendix 8), submit</w:t>
      </w:r>
      <w:r>
        <w:rPr>
          <w:rFonts w:asciiTheme="minorHAnsi" w:hAnsiTheme="minorHAnsi" w:cstheme="minorHAnsi"/>
          <w:sz w:val="22"/>
        </w:rPr>
        <w:t>s</w:t>
      </w:r>
      <w:r w:rsidR="00D30958" w:rsidRPr="001F0ED9">
        <w:rPr>
          <w:rFonts w:asciiTheme="minorHAnsi" w:hAnsiTheme="minorHAnsi" w:cstheme="minorHAnsi"/>
          <w:sz w:val="22"/>
        </w:rPr>
        <w:t xml:space="preserve"> the thesis to the Dean of the School of Pharmacy. </w:t>
      </w:r>
      <w:r>
        <w:rPr>
          <w:rFonts w:asciiTheme="minorHAnsi" w:hAnsiTheme="minorHAnsi" w:cstheme="minorHAnsi"/>
          <w:sz w:val="22"/>
        </w:rPr>
        <w:t xml:space="preserve">The </w:t>
      </w:r>
      <w:r w:rsidR="00D30958" w:rsidRPr="001F0ED9">
        <w:rPr>
          <w:rFonts w:asciiTheme="minorHAnsi" w:hAnsiTheme="minorHAnsi" w:cstheme="minorHAnsi"/>
          <w:sz w:val="22"/>
        </w:rPr>
        <w:t>Supervisory Approval Form</w:t>
      </w:r>
      <w:r w:rsidR="0024098A">
        <w:rPr>
          <w:rFonts w:asciiTheme="minorHAnsi" w:hAnsiTheme="minorHAnsi" w:cstheme="minorHAnsi"/>
          <w:sz w:val="22"/>
        </w:rPr>
        <w:t xml:space="preserve"> can be found at</w:t>
      </w:r>
      <w:r w:rsidR="00D30958" w:rsidRPr="001F0ED9">
        <w:rPr>
          <w:rFonts w:asciiTheme="minorHAnsi" w:hAnsiTheme="minorHAnsi" w:cstheme="minorHAnsi"/>
          <w:sz w:val="22"/>
        </w:rPr>
        <w:t xml:space="preserve">: </w:t>
      </w:r>
      <w:hyperlink r:id="rId16" w:history="1">
        <w:r w:rsidR="00FE30F1" w:rsidRPr="00EF1233">
          <w:rPr>
            <w:rStyle w:val="Hyperlink"/>
            <w:rFonts w:asciiTheme="minorHAnsi" w:hAnsiTheme="minorHAnsi" w:cstheme="minorHAnsi"/>
            <w:sz w:val="22"/>
            <w:u w:color="0000FF"/>
          </w:rPr>
          <w:t>https://www.mun.ca/sgs/supervisory_approval_fill.pdf</w:t>
        </w:r>
      </w:hyperlink>
      <w:r w:rsidR="00FE30F1">
        <w:rPr>
          <w:rFonts w:asciiTheme="minorHAnsi" w:hAnsiTheme="minorHAnsi" w:cstheme="minorHAnsi"/>
          <w:color w:val="0000FF"/>
          <w:sz w:val="22"/>
          <w:u w:val="single" w:color="0000FF"/>
        </w:rPr>
        <w:t xml:space="preserve"> </w:t>
      </w:r>
      <w:r w:rsidR="00D30958" w:rsidRPr="001F0ED9">
        <w:rPr>
          <w:rFonts w:asciiTheme="minorHAnsi" w:hAnsiTheme="minorHAnsi" w:cstheme="minorHAnsi"/>
          <w:sz w:val="22"/>
        </w:rPr>
        <w:t xml:space="preserve">  </w:t>
      </w:r>
    </w:p>
    <w:p w14:paraId="73A13E27"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4FA31F74" w14:textId="16BFCABD" w:rsidR="006E5D8F" w:rsidRPr="001F0ED9" w:rsidRDefault="00D30958" w:rsidP="008305ED">
      <w:pPr>
        <w:spacing w:line="240" w:lineRule="auto"/>
        <w:ind w:right="15"/>
        <w:jc w:val="left"/>
        <w:rPr>
          <w:rFonts w:asciiTheme="minorHAnsi" w:hAnsiTheme="minorHAnsi" w:cstheme="minorHAnsi"/>
          <w:sz w:val="22"/>
        </w:rPr>
      </w:pPr>
      <w:r w:rsidRPr="001F0ED9">
        <w:rPr>
          <w:rFonts w:asciiTheme="minorHAnsi" w:hAnsiTheme="minorHAnsi" w:cstheme="minorHAnsi"/>
          <w:sz w:val="22"/>
        </w:rPr>
        <w:t>Each copy of the thesis must be enclosed in an envelope, bearing the student’s name, academic unit, thesis title, date, and degree sought and must be accompanied by a signed “</w:t>
      </w:r>
      <w:hyperlink r:id="rId17" w:history="1">
        <w:r w:rsidRPr="006F4133">
          <w:rPr>
            <w:rStyle w:val="Hyperlink"/>
            <w:rFonts w:asciiTheme="minorHAnsi" w:hAnsiTheme="minorHAnsi" w:cstheme="minorHAnsi"/>
            <w:sz w:val="22"/>
          </w:rPr>
          <w:t>Appointment of Examiners</w:t>
        </w:r>
      </w:hyperlink>
      <w:r w:rsidRPr="001F0ED9">
        <w:rPr>
          <w:rFonts w:asciiTheme="minorHAnsi" w:hAnsiTheme="minorHAnsi" w:cstheme="minorHAnsi"/>
          <w:sz w:val="22"/>
        </w:rPr>
        <w:t>” form for submission to the School of Graduate Studies.</w:t>
      </w:r>
      <w:r w:rsidR="00E61784">
        <w:rPr>
          <w:rFonts w:asciiTheme="minorHAnsi" w:hAnsiTheme="minorHAnsi" w:cstheme="minorHAnsi"/>
          <w:sz w:val="22"/>
        </w:rPr>
        <w:t xml:space="preserve"> </w:t>
      </w:r>
      <w:r w:rsidRPr="001F0ED9">
        <w:rPr>
          <w:rFonts w:asciiTheme="minorHAnsi" w:hAnsiTheme="minorHAnsi" w:cstheme="minorHAnsi"/>
          <w:sz w:val="22"/>
        </w:rPr>
        <w:t xml:space="preserve">See the following link for details: </w:t>
      </w:r>
      <w:hyperlink r:id="rId18" w:history="1">
        <w:r w:rsidR="006F4133" w:rsidRPr="00EF1233">
          <w:rPr>
            <w:rStyle w:val="Hyperlink"/>
            <w:rFonts w:asciiTheme="minorHAnsi" w:hAnsiTheme="minorHAnsi" w:cstheme="minorHAnsi"/>
            <w:sz w:val="22"/>
          </w:rPr>
          <w:t>http://www.mun.ca/sgs/go/guid_policies/theses.php</w:t>
        </w:r>
      </w:hyperlink>
      <w:r w:rsidR="006F4133">
        <w:rPr>
          <w:rFonts w:asciiTheme="minorHAnsi" w:hAnsiTheme="minorHAnsi" w:cstheme="minorHAnsi"/>
          <w:sz w:val="22"/>
        </w:rPr>
        <w:t xml:space="preserve"> </w:t>
      </w:r>
      <w:r w:rsidRPr="001F0ED9">
        <w:rPr>
          <w:rFonts w:asciiTheme="minorHAnsi" w:hAnsiTheme="minorHAnsi" w:cstheme="minorHAnsi"/>
          <w:sz w:val="22"/>
        </w:rPr>
        <w:t xml:space="preserve"> </w:t>
      </w:r>
    </w:p>
    <w:p w14:paraId="3FFA80DA"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082E11A0" w14:textId="0D733A38" w:rsidR="006E5D8F" w:rsidRPr="00B06BD8" w:rsidRDefault="00D30958" w:rsidP="008305ED">
      <w:pPr>
        <w:spacing w:after="0" w:line="240" w:lineRule="auto"/>
        <w:ind w:left="0" w:right="15" w:firstLine="0"/>
        <w:jc w:val="left"/>
        <w:rPr>
          <w:rFonts w:asciiTheme="minorHAnsi" w:hAnsiTheme="minorHAnsi" w:cstheme="minorHAnsi"/>
          <w:bCs/>
          <w:i/>
          <w:iCs/>
          <w:szCs w:val="24"/>
          <w:u w:val="single"/>
        </w:rPr>
      </w:pPr>
      <w:r w:rsidRPr="00B06BD8">
        <w:rPr>
          <w:rFonts w:asciiTheme="minorHAnsi" w:hAnsiTheme="minorHAnsi" w:cstheme="minorHAnsi"/>
          <w:bCs/>
          <w:i/>
          <w:iCs/>
          <w:szCs w:val="24"/>
          <w:u w:val="single"/>
        </w:rPr>
        <w:t xml:space="preserve">Examiners </w:t>
      </w:r>
    </w:p>
    <w:p w14:paraId="089AA393" w14:textId="263A4253" w:rsidR="006E5D8F" w:rsidRPr="001F0ED9" w:rsidRDefault="00D30958" w:rsidP="00F00327">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Two examiners, normally one internal (non-supervisor) and one external are appointed by the Dean of the School of Graduate Studies on the recommendation of the Dean of the School of Pharmacy </w:t>
      </w:r>
      <w:r w:rsidR="0024098A">
        <w:rPr>
          <w:rFonts w:asciiTheme="minorHAnsi" w:hAnsiTheme="minorHAnsi" w:cstheme="minorHAnsi"/>
          <w:sz w:val="22"/>
        </w:rPr>
        <w:t xml:space="preserve">in </w:t>
      </w:r>
      <w:r w:rsidRPr="001F0ED9">
        <w:rPr>
          <w:rFonts w:asciiTheme="minorHAnsi" w:hAnsiTheme="minorHAnsi" w:cstheme="minorHAnsi"/>
          <w:sz w:val="22"/>
        </w:rPr>
        <w:t>consultation with the supervisor.</w:t>
      </w:r>
      <w:r w:rsidR="00E61784">
        <w:rPr>
          <w:rFonts w:asciiTheme="minorHAnsi" w:hAnsiTheme="minorHAnsi" w:cstheme="minorHAnsi"/>
          <w:sz w:val="22"/>
        </w:rPr>
        <w:t xml:space="preserve"> </w:t>
      </w:r>
      <w:r w:rsidRPr="001F0ED9">
        <w:rPr>
          <w:rFonts w:asciiTheme="minorHAnsi" w:hAnsiTheme="minorHAnsi" w:cstheme="minorHAnsi"/>
          <w:sz w:val="22"/>
        </w:rPr>
        <w:t>The Examiners shall normally have completed a graduate degree at the doctoral level, including a thesis in an appropriate cognate area and must not have been involved in the research or in the preparation of the thesis.</w:t>
      </w:r>
      <w:r w:rsidRPr="001F0ED9">
        <w:rPr>
          <w:rFonts w:asciiTheme="minorHAnsi" w:eastAsia="Arial" w:hAnsiTheme="minorHAnsi" w:cstheme="minorHAnsi"/>
          <w:color w:val="AF0C17"/>
          <w:sz w:val="22"/>
        </w:rPr>
        <w:t xml:space="preserve"> </w:t>
      </w:r>
      <w:r w:rsidRPr="001F0ED9">
        <w:rPr>
          <w:rFonts w:asciiTheme="minorHAnsi" w:hAnsiTheme="minorHAnsi" w:cstheme="minorHAnsi"/>
          <w:sz w:val="22"/>
        </w:rPr>
        <w:t>See the following link:</w:t>
      </w:r>
      <w:r w:rsidRPr="001F0ED9">
        <w:rPr>
          <w:rFonts w:asciiTheme="minorHAnsi" w:hAnsiTheme="minorHAnsi" w:cstheme="minorHAnsi"/>
          <w:color w:val="AF0C17"/>
          <w:sz w:val="22"/>
        </w:rPr>
        <w:t xml:space="preserve"> </w:t>
      </w:r>
      <w:hyperlink r:id="rId19" w:history="1">
        <w:r w:rsidR="0024098A" w:rsidRPr="00977CDF">
          <w:rPr>
            <w:rStyle w:val="Hyperlink"/>
            <w:rFonts w:asciiTheme="minorHAnsi" w:hAnsiTheme="minorHAnsi" w:cstheme="minorHAnsi"/>
            <w:sz w:val="22"/>
          </w:rPr>
          <w:t>http://www.mun.ca/sgs/Appoint.Masters.pdf</w:t>
        </w:r>
      </w:hyperlink>
    </w:p>
    <w:p w14:paraId="59CC0151" w14:textId="77F84138" w:rsidR="00B96C7F" w:rsidRPr="00F00327" w:rsidRDefault="00B96C7F" w:rsidP="00F00327">
      <w:pPr>
        <w:spacing w:after="0" w:line="240" w:lineRule="auto"/>
        <w:ind w:left="0" w:right="15" w:firstLine="0"/>
        <w:jc w:val="left"/>
        <w:rPr>
          <w:rFonts w:asciiTheme="minorHAnsi" w:hAnsiTheme="minorHAnsi" w:cstheme="minorHAnsi"/>
          <w:b/>
          <w:sz w:val="22"/>
        </w:rPr>
      </w:pPr>
    </w:p>
    <w:p w14:paraId="6BB3F012" w14:textId="0CD17040" w:rsidR="006E5D8F" w:rsidRPr="00B06BD8" w:rsidRDefault="00D30958" w:rsidP="008305ED">
      <w:pPr>
        <w:pStyle w:val="Heading5"/>
        <w:spacing w:line="240" w:lineRule="auto"/>
        <w:ind w:left="-5" w:right="15"/>
        <w:rPr>
          <w:rFonts w:asciiTheme="minorHAnsi" w:hAnsiTheme="minorHAnsi" w:cstheme="minorHAnsi"/>
          <w:b w:val="0"/>
          <w:bCs/>
          <w:i/>
          <w:iCs/>
          <w:szCs w:val="24"/>
          <w:u w:val="single"/>
        </w:rPr>
      </w:pPr>
      <w:r w:rsidRPr="00B06BD8">
        <w:rPr>
          <w:rFonts w:asciiTheme="minorHAnsi" w:hAnsiTheme="minorHAnsi" w:cstheme="minorHAnsi"/>
          <w:b w:val="0"/>
          <w:bCs/>
          <w:i/>
          <w:iCs/>
          <w:szCs w:val="24"/>
          <w:u w:val="single"/>
        </w:rPr>
        <w:t xml:space="preserve">Examination Procedure </w:t>
      </w:r>
    </w:p>
    <w:p w14:paraId="3B563511" w14:textId="16DDF2A9" w:rsidR="006E5D8F" w:rsidRPr="001F0ED9" w:rsidRDefault="00D30958" w:rsidP="00F00327">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A Master’s thesis received in proper order by the School of Graduate Studies is normally sent to the appropriate examiners within five working days.</w:t>
      </w:r>
      <w:r w:rsidR="00E61784">
        <w:rPr>
          <w:rFonts w:asciiTheme="minorHAnsi" w:hAnsiTheme="minorHAnsi" w:cstheme="minorHAnsi"/>
          <w:sz w:val="22"/>
        </w:rPr>
        <w:t xml:space="preserve"> </w:t>
      </w:r>
      <w:r w:rsidRPr="001F0ED9">
        <w:rPr>
          <w:rFonts w:asciiTheme="minorHAnsi" w:hAnsiTheme="minorHAnsi" w:cstheme="minorHAnsi"/>
          <w:sz w:val="22"/>
        </w:rPr>
        <w:t>During the examination process, which may take several weeks, there should be no contact between the supervisor or student and the examiners.</w:t>
      </w:r>
      <w:r w:rsidR="00E61784">
        <w:rPr>
          <w:rFonts w:asciiTheme="minorHAnsi" w:hAnsiTheme="minorHAnsi" w:cstheme="minorHAnsi"/>
          <w:sz w:val="22"/>
        </w:rPr>
        <w:t xml:space="preserve"> </w:t>
      </w:r>
      <w:r w:rsidRPr="001F0ED9">
        <w:rPr>
          <w:rFonts w:asciiTheme="minorHAnsi" w:hAnsiTheme="minorHAnsi" w:cstheme="minorHAnsi"/>
          <w:sz w:val="22"/>
        </w:rPr>
        <w:t xml:space="preserve">See the following link for details: </w:t>
      </w:r>
    </w:p>
    <w:p w14:paraId="753E9BC6" w14:textId="3B950724" w:rsidR="006E5D8F" w:rsidRPr="001F0ED9" w:rsidRDefault="00B17752" w:rsidP="008305ED">
      <w:pPr>
        <w:spacing w:line="240" w:lineRule="auto"/>
        <w:ind w:left="-5" w:right="15"/>
        <w:jc w:val="left"/>
        <w:rPr>
          <w:rFonts w:asciiTheme="minorHAnsi" w:hAnsiTheme="minorHAnsi" w:cstheme="minorHAnsi"/>
          <w:sz w:val="22"/>
        </w:rPr>
      </w:pPr>
      <w:hyperlink r:id="rId20" w:history="1">
        <w:r w:rsidRPr="000D4186">
          <w:rPr>
            <w:rStyle w:val="Hyperlink"/>
            <w:rFonts w:asciiTheme="minorHAnsi" w:hAnsiTheme="minorHAnsi" w:cstheme="minorHAnsi"/>
            <w:sz w:val="22"/>
          </w:rPr>
          <w:t>http://www.mun.ca/sgs/masters_examinations.pdf</w:t>
        </w:r>
      </w:hyperlink>
      <w:r>
        <w:rPr>
          <w:rFonts w:asciiTheme="minorHAnsi" w:hAnsiTheme="minorHAnsi" w:cstheme="minorHAnsi"/>
          <w:color w:val="0000FF"/>
          <w:sz w:val="22"/>
          <w:u w:val="single" w:color="0000FF"/>
        </w:rPr>
        <w:t xml:space="preserve"> </w:t>
      </w:r>
    </w:p>
    <w:p w14:paraId="380D976A" w14:textId="5BEA37EC"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r w:rsidRPr="001F0ED9">
        <w:rPr>
          <w:rFonts w:asciiTheme="minorHAnsi" w:hAnsiTheme="minorHAnsi" w:cstheme="minorHAnsi"/>
          <w:b/>
          <w:sz w:val="22"/>
        </w:rPr>
        <w:t xml:space="preserve"> </w:t>
      </w:r>
    </w:p>
    <w:p w14:paraId="7C76A056" w14:textId="02D56D87" w:rsidR="006E5D8F" w:rsidRPr="00B06BD8" w:rsidRDefault="00F00327" w:rsidP="008305ED">
      <w:pPr>
        <w:pStyle w:val="Heading5"/>
        <w:spacing w:line="240" w:lineRule="auto"/>
        <w:ind w:left="-5" w:right="15"/>
        <w:rPr>
          <w:rFonts w:asciiTheme="minorHAnsi" w:hAnsiTheme="minorHAnsi" w:cstheme="minorHAnsi"/>
          <w:b w:val="0"/>
          <w:bCs/>
          <w:i/>
          <w:iCs/>
          <w:szCs w:val="24"/>
          <w:u w:val="single"/>
        </w:rPr>
      </w:pPr>
      <w:r w:rsidRPr="00B06BD8">
        <w:rPr>
          <w:rFonts w:asciiTheme="minorHAnsi" w:hAnsiTheme="minorHAnsi" w:cstheme="minorHAnsi"/>
          <w:b w:val="0"/>
          <w:bCs/>
          <w:i/>
          <w:iCs/>
          <w:szCs w:val="24"/>
          <w:u w:val="single"/>
        </w:rPr>
        <w:br w:type="column"/>
      </w:r>
      <w:r w:rsidR="00D30958" w:rsidRPr="00B06BD8">
        <w:rPr>
          <w:rFonts w:asciiTheme="minorHAnsi" w:hAnsiTheme="minorHAnsi" w:cstheme="minorHAnsi"/>
          <w:b w:val="0"/>
          <w:bCs/>
          <w:i/>
          <w:iCs/>
          <w:szCs w:val="24"/>
          <w:u w:val="single"/>
        </w:rPr>
        <w:lastRenderedPageBreak/>
        <w:t xml:space="preserve">Examination Results </w:t>
      </w:r>
    </w:p>
    <w:p w14:paraId="7616B9C7" w14:textId="7EC61F07" w:rsidR="006E5D8F" w:rsidRPr="001F0ED9" w:rsidRDefault="00D30958" w:rsidP="00F00327">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Examination of the thesis will result in one of the following recommendations by each examiner. The thesis is: </w:t>
      </w:r>
    </w:p>
    <w:p w14:paraId="60E2107C"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0A9AB558" w14:textId="75BE8610" w:rsidR="006E5D8F" w:rsidRPr="00B96C7F" w:rsidRDefault="00D30958" w:rsidP="00B60E16">
      <w:pPr>
        <w:numPr>
          <w:ilvl w:val="0"/>
          <w:numId w:val="8"/>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acceptable without modification;  </w:t>
      </w:r>
    </w:p>
    <w:p w14:paraId="5FF1CADD" w14:textId="465AB392" w:rsidR="006E5D8F" w:rsidRPr="00B96C7F" w:rsidRDefault="00D30958" w:rsidP="00B60E16">
      <w:pPr>
        <w:numPr>
          <w:ilvl w:val="0"/>
          <w:numId w:val="8"/>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acceptable after minor modifications and will not require re-examination; </w:t>
      </w:r>
      <w:r w:rsidRPr="00B96C7F">
        <w:rPr>
          <w:rFonts w:asciiTheme="minorHAnsi" w:hAnsiTheme="minorHAnsi" w:cstheme="minorHAnsi"/>
          <w:sz w:val="22"/>
        </w:rPr>
        <w:t xml:space="preserve"> </w:t>
      </w:r>
    </w:p>
    <w:p w14:paraId="5B184916" w14:textId="7BCDDE1B" w:rsidR="006E5D8F" w:rsidRPr="00B96C7F" w:rsidRDefault="00D30958" w:rsidP="00B60E16">
      <w:pPr>
        <w:numPr>
          <w:ilvl w:val="0"/>
          <w:numId w:val="8"/>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unacceptable as submitted and requires major modification and must be re</w:t>
      </w:r>
      <w:r w:rsidR="00A1562D">
        <w:rPr>
          <w:rFonts w:asciiTheme="minorHAnsi" w:hAnsiTheme="minorHAnsi" w:cstheme="minorHAnsi"/>
          <w:sz w:val="22"/>
        </w:rPr>
        <w:t>-</w:t>
      </w:r>
      <w:r w:rsidRPr="001F0ED9">
        <w:rPr>
          <w:rFonts w:asciiTheme="minorHAnsi" w:hAnsiTheme="minorHAnsi" w:cstheme="minorHAnsi"/>
          <w:sz w:val="22"/>
        </w:rPr>
        <w:t xml:space="preserve">examined; </w:t>
      </w:r>
    </w:p>
    <w:p w14:paraId="4DB8CAC0" w14:textId="77777777" w:rsidR="006E5D8F" w:rsidRPr="001F0ED9" w:rsidRDefault="00D30958" w:rsidP="00B60E16">
      <w:pPr>
        <w:numPr>
          <w:ilvl w:val="0"/>
          <w:numId w:val="8"/>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totally unacceptable and is failed. </w:t>
      </w:r>
      <w:r w:rsidRPr="001F0ED9">
        <w:rPr>
          <w:rFonts w:asciiTheme="minorHAnsi" w:hAnsiTheme="minorHAnsi" w:cstheme="minorHAnsi"/>
          <w:b/>
          <w:i/>
          <w:sz w:val="22"/>
        </w:rPr>
        <w:t xml:space="preserve"> </w:t>
      </w:r>
    </w:p>
    <w:p w14:paraId="454707F5"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1092489" w14:textId="471BC508"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The Dean of Graduate Studies makes the final decision on the outcome of the examination on the basis of examiners’ recommendations and informs the candidate and the Dean of the School of Pharmacy by letter within 5-6 weeks after the initial submission of the thesis to the School of Graduate Studies.</w:t>
      </w:r>
      <w:r w:rsidR="00E61784">
        <w:rPr>
          <w:rFonts w:asciiTheme="minorHAnsi" w:hAnsiTheme="minorHAnsi" w:cstheme="minorHAnsi"/>
          <w:sz w:val="22"/>
        </w:rPr>
        <w:t xml:space="preserve"> </w:t>
      </w:r>
      <w:r w:rsidRPr="001F0ED9">
        <w:rPr>
          <w:rFonts w:asciiTheme="minorHAnsi" w:hAnsiTheme="minorHAnsi" w:cstheme="minorHAnsi"/>
          <w:sz w:val="22"/>
        </w:rPr>
        <w:t>Required revisions/corrections must be made by the student in consultation with the supervisory committee.</w:t>
      </w:r>
      <w:r w:rsidR="00E61784">
        <w:rPr>
          <w:rFonts w:asciiTheme="minorHAnsi" w:hAnsiTheme="minorHAnsi" w:cstheme="minorHAnsi"/>
          <w:sz w:val="22"/>
        </w:rPr>
        <w:t xml:space="preserve"> </w:t>
      </w:r>
      <w:r w:rsidRPr="001F0ED9">
        <w:rPr>
          <w:rFonts w:asciiTheme="minorHAnsi" w:hAnsiTheme="minorHAnsi" w:cstheme="minorHAnsi"/>
          <w:sz w:val="22"/>
        </w:rPr>
        <w:t xml:space="preserve">After approval by the supervisory committee, the revised thesis should be submitted to the School of Graduate Studies by the School of Pharmacy’s Associate Dean of Graduate Studies </w:t>
      </w:r>
      <w:r w:rsidR="00A1562D">
        <w:rPr>
          <w:rFonts w:asciiTheme="minorHAnsi" w:hAnsiTheme="minorHAnsi" w:cstheme="minorHAnsi"/>
          <w:sz w:val="22"/>
        </w:rPr>
        <w:t>&amp;</w:t>
      </w:r>
      <w:r w:rsidRPr="001F0ED9">
        <w:rPr>
          <w:rFonts w:asciiTheme="minorHAnsi" w:hAnsiTheme="minorHAnsi" w:cstheme="minorHAnsi"/>
          <w:sz w:val="22"/>
        </w:rPr>
        <w:t>Research.</w:t>
      </w:r>
      <w:r w:rsidRPr="001F0ED9">
        <w:rPr>
          <w:rFonts w:asciiTheme="minorHAnsi" w:hAnsiTheme="minorHAnsi" w:cstheme="minorHAnsi"/>
          <w:b/>
          <w:i/>
          <w:sz w:val="22"/>
        </w:rPr>
        <w:t xml:space="preserve"> </w:t>
      </w:r>
    </w:p>
    <w:p w14:paraId="66CB7023"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2599DCC9" w14:textId="77777777"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If either examiner recommends that the thesis is unacceptable, and this recommendation is accepted by the Dean of the School of Graduate Studies, then the student may apply to the Dean for permission to resubmit the thesis for re-examination in one of the following ways: </w:t>
      </w:r>
    </w:p>
    <w:p w14:paraId="1AB7DE58"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1AD988D9" w14:textId="77777777" w:rsidR="006E5D8F" w:rsidRPr="001F0ED9" w:rsidRDefault="00D30958" w:rsidP="00B60E16">
      <w:pPr>
        <w:numPr>
          <w:ilvl w:val="0"/>
          <w:numId w:val="9"/>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to submit a modified thesis to the original examiners; </w:t>
      </w:r>
    </w:p>
    <w:p w14:paraId="2663AD1F" w14:textId="77777777" w:rsidR="006E5D8F" w:rsidRPr="001F0ED9" w:rsidRDefault="00D30958" w:rsidP="00B60E16">
      <w:pPr>
        <w:numPr>
          <w:ilvl w:val="0"/>
          <w:numId w:val="9"/>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to submit a modified thesis to two new examiners; </w:t>
      </w:r>
    </w:p>
    <w:p w14:paraId="58F55241" w14:textId="77777777" w:rsidR="006E5D8F" w:rsidRPr="001F0ED9" w:rsidRDefault="00D30958" w:rsidP="00B60E16">
      <w:pPr>
        <w:numPr>
          <w:ilvl w:val="0"/>
          <w:numId w:val="9"/>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to submit the original thesis to the Examination Board to be appointed by the Dean of Graduate Studies. </w:t>
      </w:r>
    </w:p>
    <w:p w14:paraId="56617934"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7473A7D0" w14:textId="7FF54CAF"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If a thesis is re-examined, the candidate will not be awarded a pass unless all examiners find the thesis acceptable.</w:t>
      </w:r>
      <w:r w:rsidR="00E61784">
        <w:rPr>
          <w:rFonts w:asciiTheme="minorHAnsi" w:hAnsiTheme="minorHAnsi" w:cstheme="minorHAnsi"/>
          <w:sz w:val="22"/>
        </w:rPr>
        <w:t xml:space="preserve"> </w:t>
      </w:r>
      <w:r w:rsidRPr="001F0ED9">
        <w:rPr>
          <w:rFonts w:asciiTheme="minorHAnsi" w:hAnsiTheme="minorHAnsi" w:cstheme="minorHAnsi"/>
          <w:sz w:val="22"/>
        </w:rPr>
        <w:t xml:space="preserve">Under no circumstances may a thesis be re-examined more than once. </w:t>
      </w:r>
    </w:p>
    <w:p w14:paraId="67FCE29A" w14:textId="77777777" w:rsidR="00A1562D" w:rsidRDefault="00A1562D" w:rsidP="008305ED">
      <w:pPr>
        <w:pStyle w:val="Heading5"/>
        <w:spacing w:line="240" w:lineRule="auto"/>
        <w:ind w:left="-5" w:right="15"/>
        <w:rPr>
          <w:rFonts w:asciiTheme="minorHAnsi" w:hAnsiTheme="minorHAnsi" w:cstheme="minorHAnsi"/>
          <w:sz w:val="22"/>
        </w:rPr>
      </w:pPr>
    </w:p>
    <w:p w14:paraId="27379B11" w14:textId="0373868D" w:rsidR="006E5D8F" w:rsidRPr="00B06BD8" w:rsidRDefault="00D30958" w:rsidP="00843C61">
      <w:pPr>
        <w:pStyle w:val="Heading5"/>
        <w:spacing w:line="240" w:lineRule="auto"/>
        <w:ind w:left="-5" w:right="15"/>
        <w:rPr>
          <w:rFonts w:asciiTheme="minorHAnsi" w:hAnsiTheme="minorHAnsi" w:cstheme="minorHAnsi"/>
          <w:b w:val="0"/>
          <w:bCs/>
          <w:i/>
          <w:iCs/>
          <w:szCs w:val="24"/>
          <w:u w:val="single"/>
        </w:rPr>
      </w:pPr>
      <w:r w:rsidRPr="00B06BD8">
        <w:rPr>
          <w:rFonts w:asciiTheme="minorHAnsi" w:hAnsiTheme="minorHAnsi" w:cstheme="minorHAnsi"/>
          <w:b w:val="0"/>
          <w:bCs/>
          <w:i/>
          <w:iCs/>
          <w:szCs w:val="24"/>
          <w:u w:val="single"/>
        </w:rPr>
        <w:t xml:space="preserve">Time Limit for Corrections and Revisions </w:t>
      </w:r>
    </w:p>
    <w:p w14:paraId="1B44A283" w14:textId="4CF22153" w:rsidR="006E5D8F" w:rsidRPr="001F0ED9" w:rsidRDefault="00D30958" w:rsidP="008305ED">
      <w:pPr>
        <w:spacing w:line="240" w:lineRule="auto"/>
        <w:ind w:left="-5" w:right="15"/>
        <w:jc w:val="left"/>
        <w:rPr>
          <w:rFonts w:asciiTheme="minorHAnsi" w:hAnsiTheme="minorHAnsi" w:cstheme="minorHAnsi"/>
          <w:sz w:val="22"/>
        </w:rPr>
      </w:pPr>
      <w:r w:rsidRPr="00B06BD8">
        <w:rPr>
          <w:rFonts w:asciiTheme="minorHAnsi" w:hAnsiTheme="minorHAnsi" w:cstheme="minorHAnsi"/>
          <w:b/>
          <w:iCs/>
          <w:sz w:val="22"/>
        </w:rPr>
        <w:t>Minor modifications required:</w:t>
      </w:r>
      <w:r w:rsidRPr="001F0ED9">
        <w:rPr>
          <w:rFonts w:asciiTheme="minorHAnsi" w:hAnsiTheme="minorHAnsi" w:cstheme="minorHAnsi"/>
          <w:sz w:val="22"/>
        </w:rPr>
        <w:t xml:space="preserve"> The final version of the corrected/revised thesis shall be submitted to the School of Graduate Studies within six months of the date on which the examiners’ reports are sent to the School of Pharmacy.</w:t>
      </w:r>
      <w:r w:rsidR="00E61784">
        <w:rPr>
          <w:rFonts w:asciiTheme="minorHAnsi" w:hAnsiTheme="minorHAnsi" w:cstheme="minorHAnsi"/>
          <w:sz w:val="22"/>
        </w:rPr>
        <w:t xml:space="preserve"> </w:t>
      </w:r>
      <w:r w:rsidRPr="001F0ED9">
        <w:rPr>
          <w:rFonts w:asciiTheme="minorHAnsi" w:hAnsiTheme="minorHAnsi" w:cstheme="minorHAnsi"/>
          <w:sz w:val="22"/>
        </w:rPr>
        <w:t>Failure to submit the thesis within this period is indicative of student’s intention to withdraw from the program.</w:t>
      </w:r>
      <w:r w:rsidR="00E61784">
        <w:rPr>
          <w:rFonts w:asciiTheme="minorHAnsi" w:hAnsiTheme="minorHAnsi" w:cstheme="minorHAnsi"/>
          <w:sz w:val="22"/>
        </w:rPr>
        <w:t xml:space="preserve"> </w:t>
      </w:r>
      <w:r w:rsidRPr="001F0ED9">
        <w:rPr>
          <w:rFonts w:asciiTheme="minorHAnsi" w:hAnsiTheme="minorHAnsi" w:cstheme="minorHAnsi"/>
          <w:sz w:val="22"/>
        </w:rPr>
        <w:t xml:space="preserve">After this time, the student must apply to be re-admitted to the program. </w:t>
      </w:r>
    </w:p>
    <w:p w14:paraId="331B2C12"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4767606" w14:textId="008BC61F" w:rsidR="006E5D8F" w:rsidRPr="001F0ED9" w:rsidRDefault="00D30958" w:rsidP="008305ED">
      <w:pPr>
        <w:spacing w:line="240" w:lineRule="auto"/>
        <w:ind w:left="-5" w:right="15"/>
        <w:jc w:val="left"/>
        <w:rPr>
          <w:rFonts w:asciiTheme="minorHAnsi" w:hAnsiTheme="minorHAnsi" w:cstheme="minorHAnsi"/>
          <w:sz w:val="22"/>
        </w:rPr>
      </w:pPr>
      <w:r w:rsidRPr="00B06BD8">
        <w:rPr>
          <w:rFonts w:asciiTheme="minorHAnsi" w:hAnsiTheme="minorHAnsi" w:cstheme="minorHAnsi"/>
          <w:b/>
          <w:iCs/>
          <w:sz w:val="22"/>
        </w:rPr>
        <w:t>Major modifications required:</w:t>
      </w:r>
      <w:r w:rsidRPr="001F0ED9">
        <w:rPr>
          <w:rFonts w:asciiTheme="minorHAnsi" w:hAnsiTheme="minorHAnsi" w:cstheme="minorHAnsi"/>
          <w:sz w:val="22"/>
        </w:rPr>
        <w:t xml:space="preserve"> The thesis requiring re-examination shall be submitted to the School of Graduate Studies within 12 months of the date on which the examiners’ reports are sent to the School of Pharmacy.</w:t>
      </w:r>
      <w:r w:rsidR="00E61784">
        <w:rPr>
          <w:rFonts w:asciiTheme="minorHAnsi" w:hAnsiTheme="minorHAnsi" w:cstheme="minorHAnsi"/>
          <w:sz w:val="22"/>
        </w:rPr>
        <w:t xml:space="preserve"> </w:t>
      </w:r>
      <w:r w:rsidRPr="001F0ED9">
        <w:rPr>
          <w:rFonts w:asciiTheme="minorHAnsi" w:hAnsiTheme="minorHAnsi" w:cstheme="minorHAnsi"/>
          <w:sz w:val="22"/>
        </w:rPr>
        <w:t xml:space="preserve">Failure to submit the revised thesis within this period results in termination of the student’s program. </w:t>
      </w:r>
    </w:p>
    <w:p w14:paraId="3F9A8298"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2590E6D3" w14:textId="3AEC49FC" w:rsidR="006E5D8F" w:rsidRPr="001F0ED9" w:rsidRDefault="00D30958" w:rsidP="008305ED">
      <w:pPr>
        <w:spacing w:after="26"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Students should note that they must maintain their graduate registration until the academic requirements for the degree, including thesis corrections, have been met. See the following link: </w:t>
      </w:r>
      <w:hyperlink r:id="rId21" w:history="1">
        <w:r w:rsidR="00623F9F" w:rsidRPr="000D4186">
          <w:rPr>
            <w:rStyle w:val="Hyperlink"/>
            <w:rFonts w:asciiTheme="minorHAnsi" w:hAnsiTheme="minorHAnsi" w:cstheme="minorHAnsi"/>
            <w:sz w:val="22"/>
          </w:rPr>
          <w:t>https://www.mun.ca/sgs/go/guid_policies/theses.php</w:t>
        </w:r>
      </w:hyperlink>
    </w:p>
    <w:p w14:paraId="42F3EBD1"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i/>
          <w:sz w:val="22"/>
        </w:rPr>
        <w:t xml:space="preserve"> </w:t>
      </w:r>
    </w:p>
    <w:p w14:paraId="22AA8F7D"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i/>
          <w:sz w:val="22"/>
        </w:rPr>
        <w:t xml:space="preserve"> </w:t>
      </w:r>
    </w:p>
    <w:p w14:paraId="044F6ABB" w14:textId="15DF09BD" w:rsidR="006E5D8F" w:rsidRPr="00623F9F" w:rsidRDefault="00623F9F" w:rsidP="008305ED">
      <w:pPr>
        <w:pStyle w:val="Heading2"/>
        <w:spacing w:line="240" w:lineRule="auto"/>
        <w:ind w:right="15"/>
        <w:rPr>
          <w:rFonts w:asciiTheme="minorHAnsi" w:hAnsiTheme="minorHAnsi" w:cstheme="minorHAnsi"/>
          <w:b w:val="0"/>
          <w:bCs/>
          <w:sz w:val="28"/>
          <w:szCs w:val="28"/>
          <w:u w:val="none"/>
        </w:rPr>
      </w:pPr>
      <w:r w:rsidRPr="00623F9F">
        <w:rPr>
          <w:rFonts w:asciiTheme="minorHAnsi" w:hAnsiTheme="minorHAnsi" w:cstheme="minorHAnsi"/>
          <w:b w:val="0"/>
          <w:bCs/>
          <w:sz w:val="28"/>
          <w:szCs w:val="28"/>
          <w:u w:val="none"/>
        </w:rPr>
        <w:br w:type="column"/>
      </w:r>
      <w:bookmarkStart w:id="8" w:name="_Toc111554536"/>
      <w:r w:rsidR="00D30958" w:rsidRPr="00623F9F">
        <w:rPr>
          <w:rFonts w:asciiTheme="minorHAnsi" w:hAnsiTheme="minorHAnsi" w:cstheme="minorHAnsi"/>
          <w:b w:val="0"/>
          <w:bCs/>
          <w:sz w:val="28"/>
          <w:szCs w:val="28"/>
          <w:u w:val="none"/>
        </w:rPr>
        <w:lastRenderedPageBreak/>
        <w:t>PhD</w:t>
      </w:r>
      <w:r w:rsidR="00A1562D" w:rsidRPr="00623F9F">
        <w:rPr>
          <w:rFonts w:asciiTheme="minorHAnsi" w:hAnsiTheme="minorHAnsi" w:cstheme="minorHAnsi"/>
          <w:b w:val="0"/>
          <w:bCs/>
          <w:sz w:val="28"/>
          <w:szCs w:val="28"/>
          <w:u w:val="none"/>
        </w:rPr>
        <w:t xml:space="preserve"> P</w:t>
      </w:r>
      <w:r w:rsidR="00D30958" w:rsidRPr="00623F9F">
        <w:rPr>
          <w:rFonts w:asciiTheme="minorHAnsi" w:hAnsiTheme="minorHAnsi" w:cstheme="minorHAnsi"/>
          <w:b w:val="0"/>
          <w:bCs/>
          <w:sz w:val="28"/>
          <w:szCs w:val="28"/>
          <w:u w:val="none"/>
        </w:rPr>
        <w:t>rogram</w:t>
      </w:r>
      <w:bookmarkEnd w:id="8"/>
      <w:r w:rsidR="00D30958" w:rsidRPr="00623F9F">
        <w:rPr>
          <w:rFonts w:asciiTheme="minorHAnsi" w:hAnsiTheme="minorHAnsi" w:cstheme="minorHAnsi"/>
          <w:b w:val="0"/>
          <w:bCs/>
          <w:sz w:val="28"/>
          <w:szCs w:val="28"/>
          <w:u w:val="none"/>
        </w:rPr>
        <w:t xml:space="preserve"> </w:t>
      </w:r>
    </w:p>
    <w:p w14:paraId="75BE43E0"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i/>
          <w:sz w:val="22"/>
        </w:rPr>
        <w:t xml:space="preserve"> </w:t>
      </w:r>
    </w:p>
    <w:p w14:paraId="1F3ECE34" w14:textId="69B32EF6"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Students holding a Master</w:t>
      </w:r>
      <w:r w:rsidR="00A1562D">
        <w:rPr>
          <w:rFonts w:asciiTheme="minorHAnsi" w:hAnsiTheme="minorHAnsi" w:cstheme="minorHAnsi"/>
          <w:sz w:val="22"/>
        </w:rPr>
        <w:t>’</w:t>
      </w:r>
      <w:r w:rsidRPr="001F0ED9">
        <w:rPr>
          <w:rFonts w:asciiTheme="minorHAnsi" w:hAnsiTheme="minorHAnsi" w:cstheme="minorHAnsi"/>
          <w:sz w:val="22"/>
        </w:rPr>
        <w:t xml:space="preserve">s degree from </w:t>
      </w:r>
      <w:r w:rsidR="00A1562D">
        <w:rPr>
          <w:rFonts w:asciiTheme="minorHAnsi" w:hAnsiTheme="minorHAnsi" w:cstheme="minorHAnsi"/>
          <w:sz w:val="22"/>
        </w:rPr>
        <w:t xml:space="preserve">a </w:t>
      </w:r>
      <w:r w:rsidRPr="001F0ED9">
        <w:rPr>
          <w:rFonts w:asciiTheme="minorHAnsi" w:hAnsiTheme="minorHAnsi" w:cstheme="minorHAnsi"/>
          <w:sz w:val="22"/>
        </w:rPr>
        <w:t>recognized universit</w:t>
      </w:r>
      <w:r w:rsidR="00A1562D">
        <w:rPr>
          <w:rFonts w:asciiTheme="minorHAnsi" w:hAnsiTheme="minorHAnsi" w:cstheme="minorHAnsi"/>
          <w:sz w:val="22"/>
        </w:rPr>
        <w:t>y</w:t>
      </w:r>
      <w:r w:rsidRPr="001F0ED9">
        <w:rPr>
          <w:rFonts w:asciiTheme="minorHAnsi" w:hAnsiTheme="minorHAnsi" w:cstheme="minorHAnsi"/>
          <w:sz w:val="22"/>
        </w:rPr>
        <w:t xml:space="preserve"> can be admitted directly to the PhD program at the School of Pharmacy.</w:t>
      </w:r>
      <w:r w:rsidR="00E61784">
        <w:rPr>
          <w:rFonts w:asciiTheme="minorHAnsi" w:hAnsiTheme="minorHAnsi" w:cstheme="minorHAnsi"/>
          <w:sz w:val="22"/>
        </w:rPr>
        <w:t xml:space="preserve"> </w:t>
      </w:r>
      <w:r w:rsidRPr="001F0ED9">
        <w:rPr>
          <w:rFonts w:asciiTheme="minorHAnsi" w:hAnsiTheme="minorHAnsi" w:cstheme="minorHAnsi"/>
          <w:sz w:val="22"/>
        </w:rPr>
        <w:t xml:space="preserve">As described in the </w:t>
      </w:r>
      <w:r w:rsidRPr="001F0ED9">
        <w:rPr>
          <w:rFonts w:asciiTheme="minorHAnsi" w:hAnsiTheme="minorHAnsi" w:cstheme="minorHAnsi"/>
          <w:i/>
          <w:sz w:val="22"/>
        </w:rPr>
        <w:t>MSc Program</w:t>
      </w:r>
      <w:r w:rsidRPr="001F0ED9">
        <w:rPr>
          <w:rFonts w:asciiTheme="minorHAnsi" w:hAnsiTheme="minorHAnsi" w:cstheme="minorHAnsi"/>
          <w:sz w:val="22"/>
        </w:rPr>
        <w:t xml:space="preserve"> section, students who are already admitted to the MSc program can be transferred to the PhD program after a minimum of 12 months in the MSc program.</w:t>
      </w:r>
      <w:r w:rsidR="00E61784">
        <w:rPr>
          <w:rFonts w:asciiTheme="minorHAnsi" w:hAnsiTheme="minorHAnsi" w:cstheme="minorHAnsi"/>
          <w:sz w:val="22"/>
        </w:rPr>
        <w:t xml:space="preserve"> </w:t>
      </w:r>
      <w:r w:rsidRPr="001F0ED9">
        <w:rPr>
          <w:rFonts w:asciiTheme="minorHAnsi" w:hAnsiTheme="minorHAnsi" w:cstheme="minorHAnsi"/>
          <w:sz w:val="22"/>
        </w:rPr>
        <w:t xml:space="preserve">This is normally done between the </w:t>
      </w:r>
      <w:r w:rsidR="00B96C7F">
        <w:rPr>
          <w:rFonts w:asciiTheme="minorHAnsi" w:hAnsiTheme="minorHAnsi" w:cstheme="minorHAnsi"/>
          <w:sz w:val="22"/>
        </w:rPr>
        <w:t>fourth</w:t>
      </w:r>
      <w:r w:rsidRPr="001F0ED9">
        <w:rPr>
          <w:rFonts w:asciiTheme="minorHAnsi" w:hAnsiTheme="minorHAnsi" w:cstheme="minorHAnsi"/>
          <w:sz w:val="22"/>
        </w:rPr>
        <w:t xml:space="preserve"> and </w:t>
      </w:r>
      <w:r w:rsidR="00B96C7F">
        <w:rPr>
          <w:rFonts w:asciiTheme="minorHAnsi" w:hAnsiTheme="minorHAnsi" w:cstheme="minorHAnsi"/>
          <w:sz w:val="22"/>
        </w:rPr>
        <w:t>fifth</w:t>
      </w:r>
      <w:r w:rsidRPr="001F0ED9">
        <w:rPr>
          <w:rFonts w:asciiTheme="minorHAnsi" w:hAnsiTheme="minorHAnsi" w:cstheme="minorHAnsi"/>
          <w:sz w:val="22"/>
        </w:rPr>
        <w:t xml:space="preserve"> semesters of the MSc program. </w:t>
      </w:r>
    </w:p>
    <w:p w14:paraId="47797509"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5E3071D" w14:textId="77777777" w:rsidR="00B96C7F"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The PhD program requires a minimum of 6 credit hours of course work (B grades required); additional credit courses (B grades required) and/or non-credit (audit) courses as recommended by the supervisory committee; presenting research seminars; comprehensive examination; submission of thesis and oral </w:t>
      </w:r>
      <w:r w:rsidR="00A1562D" w:rsidRPr="001F0ED9">
        <w:rPr>
          <w:rFonts w:asciiTheme="minorHAnsi" w:hAnsiTheme="minorHAnsi" w:cstheme="minorHAnsi"/>
          <w:sz w:val="22"/>
        </w:rPr>
        <w:t>defen</w:t>
      </w:r>
      <w:r w:rsidR="00A1562D">
        <w:rPr>
          <w:rFonts w:asciiTheme="minorHAnsi" w:hAnsiTheme="minorHAnsi" w:cstheme="minorHAnsi"/>
          <w:sz w:val="22"/>
        </w:rPr>
        <w:t>s</w:t>
      </w:r>
      <w:r w:rsidR="00A1562D" w:rsidRPr="001F0ED9">
        <w:rPr>
          <w:rFonts w:asciiTheme="minorHAnsi" w:hAnsiTheme="minorHAnsi" w:cstheme="minorHAnsi"/>
          <w:sz w:val="22"/>
        </w:rPr>
        <w:t>e</w:t>
      </w:r>
      <w:r w:rsidRPr="001F0ED9">
        <w:rPr>
          <w:rFonts w:asciiTheme="minorHAnsi" w:hAnsiTheme="minorHAnsi" w:cstheme="minorHAnsi"/>
          <w:sz w:val="22"/>
        </w:rPr>
        <w:t xml:space="preserve">. </w:t>
      </w:r>
    </w:p>
    <w:p w14:paraId="14E7E9D8" w14:textId="0291FEA7" w:rsidR="006E5D8F" w:rsidRPr="00623F9F" w:rsidRDefault="00D30958" w:rsidP="008305ED">
      <w:pPr>
        <w:spacing w:after="0" w:line="240" w:lineRule="auto"/>
        <w:ind w:left="0" w:right="15" w:firstLine="0"/>
        <w:jc w:val="left"/>
        <w:rPr>
          <w:rFonts w:asciiTheme="minorHAnsi" w:hAnsiTheme="minorHAnsi" w:cstheme="minorHAnsi"/>
          <w:b/>
          <w:iCs/>
          <w:sz w:val="22"/>
        </w:rPr>
      </w:pPr>
      <w:r w:rsidRPr="001F0ED9">
        <w:rPr>
          <w:rFonts w:asciiTheme="minorHAnsi" w:hAnsiTheme="minorHAnsi" w:cstheme="minorHAnsi"/>
          <w:b/>
          <w:i/>
          <w:sz w:val="22"/>
        </w:rPr>
        <w:t xml:space="preserve">  </w:t>
      </w:r>
    </w:p>
    <w:p w14:paraId="5ABDFBEF" w14:textId="393A09AD" w:rsidR="00CA2CEE" w:rsidRPr="00623F9F" w:rsidRDefault="00CA2CEE" w:rsidP="00623F9F">
      <w:pPr>
        <w:spacing w:after="0" w:line="240" w:lineRule="auto"/>
        <w:ind w:left="0" w:right="15" w:firstLine="0"/>
        <w:jc w:val="left"/>
        <w:rPr>
          <w:rFonts w:asciiTheme="minorHAnsi" w:hAnsiTheme="minorHAnsi" w:cstheme="minorHAnsi"/>
          <w:b/>
          <w:szCs w:val="24"/>
        </w:rPr>
      </w:pPr>
      <w:r w:rsidRPr="00623F9F">
        <w:rPr>
          <w:rFonts w:asciiTheme="minorHAnsi" w:hAnsiTheme="minorHAnsi" w:cstheme="minorHAnsi"/>
          <w:b/>
          <w:szCs w:val="24"/>
        </w:rPr>
        <w:t>PhD</w:t>
      </w:r>
      <w:r w:rsidR="00B96C7F" w:rsidRPr="00623F9F">
        <w:rPr>
          <w:rFonts w:asciiTheme="minorHAnsi" w:hAnsiTheme="minorHAnsi" w:cstheme="minorHAnsi"/>
          <w:b/>
          <w:szCs w:val="24"/>
        </w:rPr>
        <w:t xml:space="preserve"> </w:t>
      </w:r>
      <w:r w:rsidRPr="00623F9F">
        <w:rPr>
          <w:rFonts w:asciiTheme="minorHAnsi" w:hAnsiTheme="minorHAnsi" w:cstheme="minorHAnsi"/>
          <w:b/>
          <w:szCs w:val="24"/>
        </w:rPr>
        <w:t>Comprehensive Examination</w:t>
      </w:r>
    </w:p>
    <w:p w14:paraId="710D826F" w14:textId="77777777" w:rsidR="00623F9F" w:rsidRPr="003F3C66" w:rsidRDefault="00CA2CEE" w:rsidP="00623F9F">
      <w:pPr>
        <w:spacing w:after="0" w:line="240" w:lineRule="auto"/>
        <w:ind w:right="15"/>
        <w:jc w:val="left"/>
        <w:rPr>
          <w:rFonts w:asciiTheme="minorHAnsi" w:hAnsiTheme="minorHAnsi" w:cstheme="minorHAnsi"/>
          <w:bCs/>
          <w:i/>
          <w:iCs/>
          <w:szCs w:val="24"/>
          <w:u w:val="single"/>
        </w:rPr>
      </w:pPr>
      <w:r w:rsidRPr="003F3C66">
        <w:rPr>
          <w:rFonts w:asciiTheme="minorHAnsi" w:hAnsiTheme="minorHAnsi" w:cstheme="minorHAnsi"/>
          <w:bCs/>
          <w:i/>
          <w:iCs/>
          <w:szCs w:val="24"/>
          <w:u w:val="single"/>
        </w:rPr>
        <w:t xml:space="preserve">General Procedures </w:t>
      </w:r>
    </w:p>
    <w:p w14:paraId="7F071835" w14:textId="03806E20" w:rsidR="00CA2CEE" w:rsidRPr="00623F9F" w:rsidRDefault="00CA2CEE" w:rsidP="00623F9F">
      <w:pPr>
        <w:spacing w:after="0" w:line="240" w:lineRule="auto"/>
        <w:ind w:right="15"/>
        <w:jc w:val="left"/>
        <w:rPr>
          <w:rFonts w:asciiTheme="minorHAnsi" w:hAnsiTheme="minorHAnsi" w:cstheme="minorHAnsi"/>
          <w:b/>
          <w:sz w:val="22"/>
        </w:rPr>
      </w:pPr>
      <w:r w:rsidRPr="00E61784">
        <w:rPr>
          <w:rFonts w:asciiTheme="minorHAnsi" w:hAnsiTheme="minorHAnsi" w:cstheme="minorHAnsi"/>
          <w:sz w:val="22"/>
        </w:rPr>
        <w:t xml:space="preserve">Guidelines for the PhD comprehensive examination are provided under the School of Graduate Studies Regulations in the University Calendar. See the following link for details: </w:t>
      </w:r>
      <w:hyperlink r:id="rId22" w:history="1">
        <w:r w:rsidRPr="00E61784">
          <w:rPr>
            <w:rFonts w:asciiTheme="minorHAnsi" w:hAnsiTheme="minorHAnsi" w:cstheme="minorHAnsi"/>
            <w:color w:val="0563C1" w:themeColor="hyperlink"/>
            <w:sz w:val="22"/>
            <w:u w:val="single"/>
          </w:rPr>
          <w:t>http://www.mun.ca/regoff/calendar/sectionNo=GRAD-0024</w:t>
        </w:r>
      </w:hyperlink>
      <w:r w:rsidRPr="00E61784">
        <w:rPr>
          <w:rFonts w:asciiTheme="minorHAnsi" w:hAnsiTheme="minorHAnsi" w:cstheme="minorHAnsi"/>
          <w:sz w:val="22"/>
        </w:rPr>
        <w:t xml:space="preserve"> </w:t>
      </w:r>
    </w:p>
    <w:p w14:paraId="63C033CB" w14:textId="77777777" w:rsidR="00623F9F" w:rsidRDefault="00623F9F" w:rsidP="00623F9F">
      <w:pPr>
        <w:spacing w:after="0" w:line="240" w:lineRule="auto"/>
        <w:ind w:right="15"/>
        <w:jc w:val="left"/>
        <w:rPr>
          <w:rFonts w:asciiTheme="minorHAnsi" w:hAnsiTheme="minorHAnsi" w:cstheme="minorHAnsi"/>
          <w:sz w:val="22"/>
        </w:rPr>
      </w:pPr>
    </w:p>
    <w:p w14:paraId="4E389959" w14:textId="61F088E2" w:rsidR="00CA2CEE" w:rsidRPr="00E61784" w:rsidRDefault="00CA2CEE" w:rsidP="00623F9F">
      <w:pPr>
        <w:spacing w:after="160" w:line="240" w:lineRule="auto"/>
        <w:ind w:right="15"/>
        <w:jc w:val="left"/>
        <w:rPr>
          <w:rFonts w:asciiTheme="minorHAnsi" w:hAnsiTheme="minorHAnsi" w:cstheme="minorHAnsi"/>
          <w:sz w:val="22"/>
        </w:rPr>
      </w:pPr>
      <w:r w:rsidRPr="00E61784">
        <w:rPr>
          <w:rFonts w:asciiTheme="minorHAnsi" w:hAnsiTheme="minorHAnsi" w:cstheme="minorHAnsi"/>
          <w:sz w:val="22"/>
        </w:rPr>
        <w:t xml:space="preserve">The comprehensive examination is normally taken no later than the end of the 7th semester in the PhD program. Unless an extension is granted by the Dean of the School of Graduate Studies, failure to take the examination at this time will result in the termination of the candidate’s program. </w:t>
      </w:r>
    </w:p>
    <w:p w14:paraId="6C5FBAFA" w14:textId="77777777" w:rsidR="00CA2CEE" w:rsidRPr="003F3C66" w:rsidRDefault="00CA2CEE" w:rsidP="00623F9F">
      <w:pPr>
        <w:spacing w:after="0" w:line="240" w:lineRule="auto"/>
        <w:ind w:right="15"/>
        <w:jc w:val="left"/>
        <w:rPr>
          <w:rFonts w:asciiTheme="minorHAnsi" w:hAnsiTheme="minorHAnsi" w:cstheme="minorHAnsi"/>
          <w:bCs/>
          <w:i/>
          <w:iCs/>
          <w:szCs w:val="24"/>
          <w:u w:val="single"/>
        </w:rPr>
      </w:pPr>
      <w:r w:rsidRPr="003F3C66">
        <w:rPr>
          <w:rFonts w:asciiTheme="minorHAnsi" w:hAnsiTheme="minorHAnsi" w:cstheme="minorHAnsi"/>
          <w:bCs/>
          <w:i/>
          <w:iCs/>
          <w:szCs w:val="24"/>
          <w:u w:val="single"/>
        </w:rPr>
        <w:t xml:space="preserve">Structure of the Examination Committee </w:t>
      </w:r>
    </w:p>
    <w:p w14:paraId="57DFC909" w14:textId="37B1E460" w:rsidR="00504F07" w:rsidRPr="003A12FD" w:rsidRDefault="00CA2CEE" w:rsidP="003A12FD">
      <w:pPr>
        <w:spacing w:after="0" w:line="240" w:lineRule="auto"/>
        <w:ind w:left="0" w:right="15" w:firstLine="0"/>
        <w:jc w:val="left"/>
        <w:rPr>
          <w:rFonts w:asciiTheme="minorHAnsi" w:hAnsiTheme="minorHAnsi" w:cstheme="minorHAnsi"/>
          <w:color w:val="FF0000"/>
          <w:sz w:val="22"/>
        </w:rPr>
      </w:pPr>
      <w:r w:rsidRPr="00E61784">
        <w:rPr>
          <w:rFonts w:asciiTheme="minorHAnsi" w:hAnsiTheme="minorHAnsi" w:cstheme="minorHAnsi"/>
          <w:sz w:val="22"/>
        </w:rPr>
        <w:t>The Examination Committee consists of a Chair, the supervisor or co-supervisors, and 2-3 other faculty members who are not part of the supervisory committee</w:t>
      </w:r>
      <w:r w:rsidR="00B73CB1" w:rsidRPr="00E61784">
        <w:rPr>
          <w:rFonts w:asciiTheme="minorHAnsi" w:hAnsiTheme="minorHAnsi" w:cstheme="minorHAnsi"/>
          <w:sz w:val="22"/>
        </w:rPr>
        <w:t>,</w:t>
      </w:r>
      <w:r w:rsidRPr="00E61784">
        <w:rPr>
          <w:rFonts w:asciiTheme="minorHAnsi" w:hAnsiTheme="minorHAnsi" w:cstheme="minorHAnsi"/>
          <w:sz w:val="22"/>
        </w:rPr>
        <w:t xml:space="preserve"> and may be associated with other academic units or other institutions. The Associate Dean of Graduate Studies &amp; Research at the School of Pharmacy (or delegate) usually serves as the Chair, and all members of the Examination Committee, are voting members.  The total voting members should be an odd number. The Dean of Graduate Studies or delegate, can be made available as a non-voting attendee upon the request of the Dean of Pharmacy (or delegate).  Likewise, a student can contact the Dean of Pharmacy (or delegate) if they would like to request the Dean of Graduate Studies </w:t>
      </w:r>
      <w:r w:rsidR="00B73CB1" w:rsidRPr="00E61784">
        <w:rPr>
          <w:rFonts w:asciiTheme="minorHAnsi" w:hAnsiTheme="minorHAnsi" w:cstheme="minorHAnsi"/>
          <w:sz w:val="22"/>
        </w:rPr>
        <w:t>(</w:t>
      </w:r>
      <w:r w:rsidRPr="00E61784">
        <w:rPr>
          <w:rFonts w:asciiTheme="minorHAnsi" w:hAnsiTheme="minorHAnsi" w:cstheme="minorHAnsi"/>
          <w:sz w:val="22"/>
        </w:rPr>
        <w:t>or delegate</w:t>
      </w:r>
      <w:r w:rsidR="00B73CB1" w:rsidRPr="00E61784">
        <w:rPr>
          <w:rFonts w:asciiTheme="minorHAnsi" w:hAnsiTheme="minorHAnsi" w:cstheme="minorHAnsi"/>
          <w:sz w:val="22"/>
        </w:rPr>
        <w:t>)</w:t>
      </w:r>
      <w:r w:rsidRPr="00E61784">
        <w:rPr>
          <w:rFonts w:asciiTheme="minorHAnsi" w:hAnsiTheme="minorHAnsi" w:cstheme="minorHAnsi"/>
          <w:sz w:val="22"/>
        </w:rPr>
        <w:t xml:space="preserve"> to attend their comprehensive exam. The members of the Examination Committee are appointed by the Dean of the School of Graduate Studies on the recommendation of the Dean of the School of Pharmacy.</w:t>
      </w:r>
      <w:r w:rsidRPr="00CA2CEE">
        <w:rPr>
          <w:rFonts w:asciiTheme="minorHAnsi" w:hAnsiTheme="minorHAnsi" w:cstheme="minorHAnsi"/>
          <w:sz w:val="22"/>
        </w:rPr>
        <w:t xml:space="preserve"> </w:t>
      </w:r>
    </w:p>
    <w:p w14:paraId="38FC2F4D" w14:textId="77777777" w:rsidR="00504F07" w:rsidRDefault="00504F07" w:rsidP="008305ED">
      <w:pPr>
        <w:spacing w:line="240" w:lineRule="auto"/>
        <w:ind w:right="15"/>
        <w:jc w:val="left"/>
        <w:rPr>
          <w:rFonts w:asciiTheme="minorHAnsi" w:hAnsiTheme="minorHAnsi" w:cstheme="minorHAnsi"/>
          <w:b/>
          <w:sz w:val="22"/>
        </w:rPr>
      </w:pPr>
    </w:p>
    <w:p w14:paraId="55736537" w14:textId="3F303F61" w:rsidR="00CA2CEE" w:rsidRPr="003F3C66" w:rsidRDefault="00CA2CEE" w:rsidP="008305ED">
      <w:pPr>
        <w:spacing w:line="240" w:lineRule="auto"/>
        <w:ind w:right="15"/>
        <w:jc w:val="left"/>
        <w:rPr>
          <w:rFonts w:asciiTheme="minorHAnsi" w:hAnsiTheme="minorHAnsi" w:cstheme="minorHAnsi"/>
          <w:bCs/>
          <w:i/>
          <w:iCs/>
          <w:szCs w:val="24"/>
          <w:u w:val="single"/>
        </w:rPr>
      </w:pPr>
      <w:r w:rsidRPr="003F3C66">
        <w:rPr>
          <w:rFonts w:asciiTheme="minorHAnsi" w:hAnsiTheme="minorHAnsi" w:cstheme="minorHAnsi"/>
          <w:bCs/>
          <w:i/>
          <w:iCs/>
          <w:szCs w:val="24"/>
          <w:u w:val="single"/>
        </w:rPr>
        <w:t xml:space="preserve">Notification to the Candidate </w:t>
      </w:r>
    </w:p>
    <w:p w14:paraId="3B78A346" w14:textId="77777777" w:rsidR="00CA2CEE" w:rsidRPr="00CA2CEE" w:rsidRDefault="00CA2CEE" w:rsidP="003A12FD">
      <w:pPr>
        <w:spacing w:line="240" w:lineRule="auto"/>
        <w:ind w:left="0" w:right="15" w:firstLine="0"/>
        <w:jc w:val="left"/>
        <w:rPr>
          <w:rFonts w:asciiTheme="minorHAnsi" w:hAnsiTheme="minorHAnsi" w:cstheme="minorHAnsi"/>
          <w:sz w:val="22"/>
        </w:rPr>
      </w:pPr>
      <w:r w:rsidRPr="00CA2CEE">
        <w:rPr>
          <w:rFonts w:asciiTheme="minorHAnsi" w:hAnsiTheme="minorHAnsi" w:cstheme="minorHAnsi"/>
          <w:sz w:val="22"/>
        </w:rPr>
        <w:t xml:space="preserve">The Chair of the Examination Committee shall send a letter to the candidate, at least three months prior to the examination, indicating the members of the Examination Committee; the exam </w:t>
      </w:r>
      <w:proofErr w:type="gramStart"/>
      <w:r w:rsidRPr="00CA2CEE">
        <w:rPr>
          <w:rFonts w:asciiTheme="minorHAnsi" w:hAnsiTheme="minorHAnsi" w:cstheme="minorHAnsi"/>
          <w:sz w:val="22"/>
        </w:rPr>
        <w:t>format</w:t>
      </w:r>
      <w:proofErr w:type="gramEnd"/>
      <w:r w:rsidRPr="00CA2CEE">
        <w:rPr>
          <w:rFonts w:asciiTheme="minorHAnsi" w:hAnsiTheme="minorHAnsi" w:cstheme="minorHAnsi"/>
          <w:sz w:val="22"/>
        </w:rPr>
        <w:t xml:space="preserve"> the date and place of the written and oral components; and a reading list to prepare for the examination.</w:t>
      </w:r>
    </w:p>
    <w:p w14:paraId="1E1C964A" w14:textId="77777777" w:rsidR="00CA2CEE" w:rsidRPr="00CA2CEE" w:rsidRDefault="00CA2CEE" w:rsidP="008305ED">
      <w:pPr>
        <w:spacing w:line="240" w:lineRule="auto"/>
        <w:ind w:right="15"/>
        <w:jc w:val="left"/>
        <w:rPr>
          <w:rFonts w:asciiTheme="minorHAnsi" w:hAnsiTheme="minorHAnsi" w:cstheme="minorHAnsi"/>
          <w:sz w:val="22"/>
        </w:rPr>
      </w:pPr>
    </w:p>
    <w:p w14:paraId="49BE50E6" w14:textId="77777777" w:rsidR="00CA2CEE" w:rsidRPr="003F3C66" w:rsidRDefault="00CA2CEE" w:rsidP="008305ED">
      <w:pPr>
        <w:spacing w:line="240" w:lineRule="auto"/>
        <w:ind w:right="15"/>
        <w:jc w:val="left"/>
        <w:rPr>
          <w:rFonts w:asciiTheme="minorHAnsi" w:hAnsiTheme="minorHAnsi" w:cstheme="minorHAnsi"/>
          <w:bCs/>
          <w:i/>
          <w:iCs/>
          <w:szCs w:val="24"/>
          <w:u w:val="single"/>
        </w:rPr>
      </w:pPr>
      <w:r w:rsidRPr="003F3C66">
        <w:rPr>
          <w:rFonts w:asciiTheme="minorHAnsi" w:hAnsiTheme="minorHAnsi" w:cstheme="minorHAnsi"/>
          <w:bCs/>
          <w:i/>
          <w:iCs/>
          <w:szCs w:val="24"/>
          <w:u w:val="single"/>
        </w:rPr>
        <w:t>Examination Process</w:t>
      </w:r>
    </w:p>
    <w:p w14:paraId="1BA670A5" w14:textId="77777777" w:rsidR="00CA2CEE" w:rsidRPr="00E61784" w:rsidRDefault="00CA2CEE" w:rsidP="003A12FD">
      <w:pPr>
        <w:spacing w:line="240" w:lineRule="auto"/>
        <w:ind w:left="0" w:right="15" w:firstLine="0"/>
        <w:jc w:val="left"/>
        <w:rPr>
          <w:rFonts w:asciiTheme="minorHAnsi" w:hAnsiTheme="minorHAnsi" w:cstheme="minorHAnsi"/>
          <w:sz w:val="22"/>
        </w:rPr>
      </w:pPr>
      <w:r w:rsidRPr="00E61784">
        <w:rPr>
          <w:rFonts w:asciiTheme="minorHAnsi" w:hAnsiTheme="minorHAnsi" w:cstheme="minorHAnsi"/>
          <w:sz w:val="22"/>
        </w:rPr>
        <w:t>The examination committee will determine whether the exam should be conducted in either a closed-book (default) or an open-book format:</w:t>
      </w:r>
    </w:p>
    <w:p w14:paraId="5B3C3C83" w14:textId="77777777" w:rsidR="00CA2CEE" w:rsidRPr="00E61784" w:rsidRDefault="00CA2CEE" w:rsidP="008305ED">
      <w:pPr>
        <w:spacing w:line="240" w:lineRule="auto"/>
        <w:ind w:right="15"/>
        <w:jc w:val="left"/>
        <w:rPr>
          <w:rFonts w:asciiTheme="minorHAnsi" w:hAnsiTheme="minorHAnsi" w:cstheme="minorHAnsi"/>
          <w:sz w:val="22"/>
        </w:rPr>
      </w:pPr>
    </w:p>
    <w:p w14:paraId="30EA4DE0" w14:textId="3FF34391" w:rsidR="00CA2CEE" w:rsidRDefault="00CA2CEE" w:rsidP="003F3C66">
      <w:pPr>
        <w:pStyle w:val="ListParagraph"/>
        <w:numPr>
          <w:ilvl w:val="0"/>
          <w:numId w:val="29"/>
        </w:numPr>
        <w:spacing w:after="0" w:line="240" w:lineRule="auto"/>
        <w:ind w:left="709" w:right="15" w:hanging="425"/>
        <w:contextualSpacing w:val="0"/>
        <w:jc w:val="left"/>
        <w:rPr>
          <w:rFonts w:asciiTheme="minorHAnsi" w:hAnsiTheme="minorHAnsi" w:cstheme="minorHAnsi"/>
          <w:sz w:val="22"/>
        </w:rPr>
      </w:pPr>
      <w:r w:rsidRPr="00E61784">
        <w:rPr>
          <w:rFonts w:asciiTheme="minorHAnsi" w:hAnsiTheme="minorHAnsi" w:cstheme="minorHAnsi"/>
          <w:sz w:val="22"/>
        </w:rPr>
        <w:t>Closed-book format: Four examiners will provide a list of reading materials (book chapters, monographs, and research papers). Contents of the reading materials should be relevant to the candidate’s research program. The candidate will have three months to prepare for the written examination and is permitted to communicate with individual examiners to clarify the learning objectives of study materials. The four examiners will develop approximately an equal amount of examination questions based on the study materials provided. The candidate will be provided a laptop computer</w:t>
      </w:r>
      <w:r w:rsidR="00B73CB1" w:rsidRPr="00E61784">
        <w:rPr>
          <w:rFonts w:asciiTheme="minorHAnsi" w:hAnsiTheme="minorHAnsi" w:cstheme="minorHAnsi"/>
          <w:sz w:val="22"/>
        </w:rPr>
        <w:t>,</w:t>
      </w:r>
      <w:r w:rsidRPr="00E61784">
        <w:rPr>
          <w:rFonts w:asciiTheme="minorHAnsi" w:hAnsiTheme="minorHAnsi" w:cstheme="minorHAnsi"/>
          <w:sz w:val="22"/>
        </w:rPr>
        <w:t xml:space="preserve"> without an internet connection</w:t>
      </w:r>
      <w:r w:rsidR="00B73CB1" w:rsidRPr="00E61784">
        <w:rPr>
          <w:rFonts w:asciiTheme="minorHAnsi" w:hAnsiTheme="minorHAnsi" w:cstheme="minorHAnsi"/>
          <w:sz w:val="22"/>
        </w:rPr>
        <w:t>,</w:t>
      </w:r>
      <w:r w:rsidRPr="00E61784">
        <w:rPr>
          <w:rFonts w:asciiTheme="minorHAnsi" w:hAnsiTheme="minorHAnsi" w:cstheme="minorHAnsi"/>
          <w:sz w:val="22"/>
        </w:rPr>
        <w:t xml:space="preserve"> </w:t>
      </w:r>
      <w:r w:rsidRPr="00E61784">
        <w:rPr>
          <w:rFonts w:asciiTheme="minorHAnsi" w:hAnsiTheme="minorHAnsi" w:cstheme="minorHAnsi"/>
          <w:sz w:val="22"/>
        </w:rPr>
        <w:lastRenderedPageBreak/>
        <w:t xml:space="preserve">to answer examination questions on the examination day. The candidate </w:t>
      </w:r>
      <w:r w:rsidR="00B73CB1" w:rsidRPr="00E61784">
        <w:rPr>
          <w:rFonts w:asciiTheme="minorHAnsi" w:hAnsiTheme="minorHAnsi" w:cstheme="minorHAnsi"/>
          <w:sz w:val="22"/>
        </w:rPr>
        <w:t>must</w:t>
      </w:r>
      <w:r w:rsidRPr="00E61784">
        <w:rPr>
          <w:rFonts w:asciiTheme="minorHAnsi" w:hAnsiTheme="minorHAnsi" w:cstheme="minorHAnsi"/>
          <w:sz w:val="22"/>
        </w:rPr>
        <w:t xml:space="preserve"> answer all or a part of the questions prepared by all four examiners in 8 hours. In situations appropriate to the student’s area of doctoral studies and research, the student may bring study materials during the written examination.  This decision must be made unanimously by the examination committee. Examiners will have one week to read and evaluate the written component of the comprehensive examination. </w:t>
      </w:r>
      <w:r w:rsidR="00B73CB1" w:rsidRPr="00E61784">
        <w:rPr>
          <w:rFonts w:asciiTheme="minorHAnsi" w:hAnsiTheme="minorHAnsi" w:cstheme="minorHAnsi"/>
          <w:sz w:val="22"/>
        </w:rPr>
        <w:t>U</w:t>
      </w:r>
      <w:r w:rsidRPr="00E61784">
        <w:rPr>
          <w:rFonts w:asciiTheme="minorHAnsi" w:hAnsiTheme="minorHAnsi" w:cstheme="minorHAnsi"/>
          <w:sz w:val="22"/>
        </w:rPr>
        <w:t xml:space="preserve">nanswered </w:t>
      </w:r>
      <w:r w:rsidR="00B73CB1" w:rsidRPr="00E61784">
        <w:rPr>
          <w:rFonts w:asciiTheme="minorHAnsi" w:hAnsiTheme="minorHAnsi" w:cstheme="minorHAnsi"/>
          <w:sz w:val="22"/>
        </w:rPr>
        <w:t>or</w:t>
      </w:r>
      <w:r w:rsidRPr="00E61784">
        <w:rPr>
          <w:rFonts w:asciiTheme="minorHAnsi" w:hAnsiTheme="minorHAnsi" w:cstheme="minorHAnsi"/>
          <w:sz w:val="22"/>
        </w:rPr>
        <w:t xml:space="preserve"> poorly answered questions will serve as a basis for the oral examination one week later, which may be viewed as a quasi-open-book examination. On the oral examination day, the candidate will be examined by all comprehensive examination board members (2-3 hours) and be graded based on the performance of both written and oral examinations.  </w:t>
      </w:r>
    </w:p>
    <w:p w14:paraId="7273F361" w14:textId="77777777" w:rsidR="00045951" w:rsidRPr="00045951" w:rsidRDefault="00045951" w:rsidP="00045951">
      <w:pPr>
        <w:spacing w:after="0" w:line="240" w:lineRule="auto"/>
        <w:ind w:left="284" w:right="15" w:firstLine="0"/>
        <w:jc w:val="left"/>
        <w:rPr>
          <w:rFonts w:asciiTheme="minorHAnsi" w:hAnsiTheme="minorHAnsi" w:cstheme="minorHAnsi"/>
          <w:sz w:val="22"/>
        </w:rPr>
      </w:pPr>
    </w:p>
    <w:p w14:paraId="27BA4D83" w14:textId="38E2EFA3" w:rsidR="00CA2CEE" w:rsidRPr="00E61784" w:rsidRDefault="00CA2CEE" w:rsidP="003F3C66">
      <w:pPr>
        <w:pStyle w:val="ListParagraph"/>
        <w:numPr>
          <w:ilvl w:val="0"/>
          <w:numId w:val="29"/>
        </w:numPr>
        <w:spacing w:after="0" w:line="240" w:lineRule="auto"/>
        <w:ind w:left="709" w:right="15" w:hanging="425"/>
        <w:contextualSpacing w:val="0"/>
        <w:jc w:val="left"/>
        <w:rPr>
          <w:rFonts w:asciiTheme="minorHAnsi" w:hAnsiTheme="minorHAnsi" w:cstheme="minorHAnsi"/>
          <w:sz w:val="22"/>
        </w:rPr>
      </w:pPr>
      <w:r w:rsidRPr="00E61784">
        <w:rPr>
          <w:rFonts w:asciiTheme="minorHAnsi" w:hAnsiTheme="minorHAnsi" w:cstheme="minorHAnsi"/>
          <w:sz w:val="22"/>
        </w:rPr>
        <w:t xml:space="preserve">Open-book format: The examination committee will provide the candidate with a research project, and the candidate will </w:t>
      </w:r>
      <w:proofErr w:type="gramStart"/>
      <w:r w:rsidRPr="00E61784">
        <w:rPr>
          <w:rFonts w:asciiTheme="minorHAnsi" w:hAnsiTheme="minorHAnsi" w:cstheme="minorHAnsi"/>
          <w:sz w:val="22"/>
        </w:rPr>
        <w:t>spend  three</w:t>
      </w:r>
      <w:proofErr w:type="gramEnd"/>
      <w:r w:rsidRPr="00E61784">
        <w:rPr>
          <w:rFonts w:asciiTheme="minorHAnsi" w:hAnsiTheme="minorHAnsi" w:cstheme="minorHAnsi"/>
          <w:sz w:val="22"/>
        </w:rPr>
        <w:t xml:space="preserve"> months completing a research proposal (</w:t>
      </w:r>
      <w:r w:rsidRPr="00E61784">
        <w:rPr>
          <w:rFonts w:asciiTheme="minorHAnsi" w:eastAsia="Calibri" w:hAnsiTheme="minorHAnsi" w:cstheme="minorHAnsi"/>
          <w:sz w:val="22"/>
        </w:rPr>
        <w:t>no more than 40 pages double spaced, excluding references.</w:t>
      </w:r>
      <w:r w:rsidRPr="00E61784">
        <w:rPr>
          <w:rFonts w:asciiTheme="minorHAnsi" w:hAnsiTheme="minorHAnsi" w:cstheme="minorHAnsi"/>
          <w:sz w:val="22"/>
        </w:rPr>
        <w:t>), which should contain</w:t>
      </w:r>
      <w:r w:rsidR="00B73CB1" w:rsidRPr="00E61784">
        <w:rPr>
          <w:rFonts w:asciiTheme="minorHAnsi" w:hAnsiTheme="minorHAnsi" w:cstheme="minorHAnsi"/>
          <w:sz w:val="22"/>
        </w:rPr>
        <w:t>,</w:t>
      </w:r>
      <w:r w:rsidRPr="00E61784">
        <w:rPr>
          <w:rFonts w:asciiTheme="minorHAnsi" w:hAnsiTheme="minorHAnsi" w:cstheme="minorHAnsi"/>
          <w:sz w:val="22"/>
        </w:rPr>
        <w:t xml:space="preserve"> but </w:t>
      </w:r>
      <w:r w:rsidR="00B73CB1" w:rsidRPr="00E61784">
        <w:rPr>
          <w:rFonts w:asciiTheme="minorHAnsi" w:hAnsiTheme="minorHAnsi" w:cstheme="minorHAnsi"/>
          <w:sz w:val="22"/>
        </w:rPr>
        <w:t xml:space="preserve">is </w:t>
      </w:r>
      <w:r w:rsidRPr="00E61784">
        <w:rPr>
          <w:rFonts w:asciiTheme="minorHAnsi" w:hAnsiTheme="minorHAnsi" w:cstheme="minorHAnsi"/>
          <w:sz w:val="22"/>
        </w:rPr>
        <w:t>not limited to the following information: introduction/background, research hypotheses, materials and methods, expected results, conclusions, significance, impacts, future directions, references, tables, and figures, etc. The examiners will have one week to read and evaluate the research proposal before the oral examination. The candidate will briefly present the research proposal on the oral examination day. All examiners may ask questions specifically, or remotely, relevant to the submitted research proposal during the oral examination session (2-3 hours), which may be viewed as a quasi-closed-book exam. Finally, the examiners will grade the candidate based on the written proposal and oral examination.</w:t>
      </w:r>
    </w:p>
    <w:p w14:paraId="313C6AD7" w14:textId="77777777" w:rsidR="00CA2CEE" w:rsidRPr="00E61784" w:rsidRDefault="00CA2CEE" w:rsidP="008305ED">
      <w:pPr>
        <w:spacing w:line="240" w:lineRule="auto"/>
        <w:ind w:right="15"/>
        <w:jc w:val="left"/>
        <w:rPr>
          <w:rFonts w:asciiTheme="minorHAnsi" w:hAnsiTheme="minorHAnsi" w:cstheme="minorHAnsi"/>
          <w:sz w:val="22"/>
        </w:rPr>
      </w:pPr>
    </w:p>
    <w:p w14:paraId="011E3B3E" w14:textId="01ADA138" w:rsidR="00CA2CEE" w:rsidRPr="00B11266" w:rsidRDefault="00CA2CEE" w:rsidP="00374105">
      <w:pPr>
        <w:spacing w:line="240" w:lineRule="auto"/>
        <w:ind w:right="15"/>
        <w:jc w:val="left"/>
        <w:rPr>
          <w:rFonts w:asciiTheme="minorHAnsi" w:hAnsiTheme="minorHAnsi" w:cstheme="minorHAnsi"/>
          <w:bCs/>
          <w:i/>
          <w:iCs/>
          <w:szCs w:val="24"/>
          <w:u w:val="single"/>
        </w:rPr>
      </w:pPr>
      <w:r w:rsidRPr="00B11266">
        <w:rPr>
          <w:rFonts w:asciiTheme="minorHAnsi" w:hAnsiTheme="minorHAnsi" w:cstheme="minorHAnsi"/>
          <w:bCs/>
          <w:i/>
          <w:iCs/>
          <w:szCs w:val="24"/>
          <w:u w:val="single"/>
        </w:rPr>
        <w:t xml:space="preserve">Outcome of the Comprehensive Examination </w:t>
      </w:r>
    </w:p>
    <w:p w14:paraId="002A400A" w14:textId="77777777" w:rsidR="003A12FD" w:rsidRDefault="00CA2CEE" w:rsidP="003A12FD">
      <w:pPr>
        <w:spacing w:after="0" w:line="240" w:lineRule="auto"/>
        <w:ind w:right="15"/>
        <w:jc w:val="left"/>
        <w:rPr>
          <w:rFonts w:asciiTheme="minorHAnsi" w:hAnsiTheme="minorHAnsi" w:cstheme="minorHAnsi"/>
          <w:sz w:val="22"/>
        </w:rPr>
      </w:pPr>
      <w:r w:rsidRPr="00E61784">
        <w:rPr>
          <w:rFonts w:asciiTheme="minorHAnsi" w:hAnsiTheme="minorHAnsi" w:cstheme="minorHAnsi"/>
          <w:sz w:val="22"/>
        </w:rPr>
        <w:t xml:space="preserve">Following the oral examination, members of the Examination Committee </w:t>
      </w:r>
      <w:r w:rsidR="00B73CB1" w:rsidRPr="00E61784">
        <w:rPr>
          <w:rFonts w:asciiTheme="minorHAnsi" w:hAnsiTheme="minorHAnsi" w:cstheme="minorHAnsi"/>
          <w:sz w:val="22"/>
        </w:rPr>
        <w:t xml:space="preserve">will </w:t>
      </w:r>
      <w:r w:rsidRPr="00E61784">
        <w:rPr>
          <w:rFonts w:asciiTheme="minorHAnsi" w:hAnsiTheme="minorHAnsi" w:cstheme="minorHAnsi"/>
          <w:sz w:val="22"/>
        </w:rPr>
        <w:t>meet in camera to determine the outcome of the examination. The outcome is based on both the written and oral components of the examination. As per the Memorial University Calendar, the outcome of the examination will be one of the following:</w:t>
      </w:r>
    </w:p>
    <w:p w14:paraId="7FD357DE" w14:textId="29F6E7E0" w:rsidR="00CA2CEE" w:rsidRPr="00E61784" w:rsidRDefault="00CA2CEE" w:rsidP="003A12FD">
      <w:pPr>
        <w:spacing w:after="0" w:line="240" w:lineRule="auto"/>
        <w:ind w:right="15"/>
        <w:jc w:val="left"/>
        <w:rPr>
          <w:rFonts w:asciiTheme="minorHAnsi" w:hAnsiTheme="minorHAnsi" w:cstheme="minorHAnsi"/>
          <w:sz w:val="22"/>
        </w:rPr>
      </w:pPr>
      <w:r w:rsidRPr="00E61784">
        <w:rPr>
          <w:rFonts w:asciiTheme="minorHAnsi" w:hAnsiTheme="minorHAnsi" w:cstheme="minorHAnsi"/>
          <w:sz w:val="22"/>
        </w:rPr>
        <w:t xml:space="preserve"> </w:t>
      </w:r>
    </w:p>
    <w:p w14:paraId="69DECF24" w14:textId="7974D332" w:rsidR="00CA2CEE" w:rsidRDefault="00CA2CEE" w:rsidP="00B11266">
      <w:pPr>
        <w:pStyle w:val="ListParagraph"/>
        <w:numPr>
          <w:ilvl w:val="0"/>
          <w:numId w:val="30"/>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b/>
          <w:sz w:val="22"/>
        </w:rPr>
        <w:t>Pass</w:t>
      </w:r>
      <w:r w:rsidR="003A12FD" w:rsidRPr="003A12FD">
        <w:rPr>
          <w:rFonts w:asciiTheme="minorHAnsi" w:hAnsiTheme="minorHAnsi" w:cstheme="minorHAnsi"/>
          <w:b/>
          <w:bCs/>
          <w:sz w:val="22"/>
        </w:rPr>
        <w:t>:</w:t>
      </w:r>
      <w:r w:rsidRPr="00E61784">
        <w:rPr>
          <w:rFonts w:asciiTheme="minorHAnsi" w:hAnsiTheme="minorHAnsi" w:cstheme="minorHAnsi"/>
          <w:sz w:val="22"/>
        </w:rPr>
        <w:t xml:space="preserve"> for candidates who demonstrate an acceptable knowledge of their chosen field and attain a majority of votes. </w:t>
      </w:r>
    </w:p>
    <w:p w14:paraId="11D71A35" w14:textId="77777777" w:rsidR="00581B14" w:rsidRPr="00581B14" w:rsidRDefault="00581B14" w:rsidP="00581B14">
      <w:pPr>
        <w:spacing w:after="0" w:line="240" w:lineRule="auto"/>
        <w:ind w:left="284" w:right="15" w:firstLine="0"/>
        <w:jc w:val="left"/>
        <w:rPr>
          <w:rFonts w:asciiTheme="minorHAnsi" w:hAnsiTheme="minorHAnsi" w:cstheme="minorHAnsi"/>
          <w:sz w:val="22"/>
        </w:rPr>
      </w:pPr>
    </w:p>
    <w:p w14:paraId="23BD883F" w14:textId="77C0BD39" w:rsidR="00CA2CEE" w:rsidRDefault="00CA2CEE" w:rsidP="00B11266">
      <w:pPr>
        <w:pStyle w:val="ListParagraph"/>
        <w:numPr>
          <w:ilvl w:val="0"/>
          <w:numId w:val="30"/>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b/>
          <w:sz w:val="22"/>
        </w:rPr>
        <w:t>Re-examination</w:t>
      </w:r>
      <w:r w:rsidR="003A12FD" w:rsidRPr="003A12FD">
        <w:rPr>
          <w:rFonts w:asciiTheme="minorHAnsi" w:hAnsiTheme="minorHAnsi" w:cstheme="minorHAnsi"/>
          <w:b/>
          <w:bCs/>
          <w:sz w:val="22"/>
        </w:rPr>
        <w:t>:</w:t>
      </w:r>
      <w:r w:rsidRPr="00E61784">
        <w:rPr>
          <w:rFonts w:asciiTheme="minorHAnsi" w:hAnsiTheme="minorHAnsi" w:cstheme="minorHAnsi"/>
          <w:sz w:val="22"/>
        </w:rPr>
        <w:t xml:space="preserve"> for those whose understanding of their research area lacks sufficient depth and scope as indicated by the majority of the Examination Committee members.  Only one such examination in this category is possible. Re-examination must be conducted not less than one month and not more than six months after the examination. The decision of the voting members of the Committee following re-examination can only be “</w:t>
      </w:r>
      <w:r w:rsidRPr="00E61784">
        <w:rPr>
          <w:rFonts w:asciiTheme="minorHAnsi" w:hAnsiTheme="minorHAnsi" w:cstheme="minorHAnsi"/>
          <w:b/>
          <w:sz w:val="22"/>
        </w:rPr>
        <w:t>Pass</w:t>
      </w:r>
      <w:r w:rsidRPr="00E61784">
        <w:rPr>
          <w:rFonts w:asciiTheme="minorHAnsi" w:hAnsiTheme="minorHAnsi" w:cstheme="minorHAnsi"/>
          <w:sz w:val="22"/>
        </w:rPr>
        <w:t>” or “</w:t>
      </w:r>
      <w:r w:rsidRPr="00E61784">
        <w:rPr>
          <w:rFonts w:asciiTheme="minorHAnsi" w:hAnsiTheme="minorHAnsi" w:cstheme="minorHAnsi"/>
          <w:b/>
          <w:sz w:val="22"/>
        </w:rPr>
        <w:t>Fail</w:t>
      </w:r>
      <w:r w:rsidRPr="00E61784">
        <w:rPr>
          <w:rFonts w:asciiTheme="minorHAnsi" w:hAnsiTheme="minorHAnsi" w:cstheme="minorHAnsi"/>
          <w:sz w:val="22"/>
        </w:rPr>
        <w:t xml:space="preserve">” decided by majority vote. Failure will lead to immediate termination of the candidate’s program with no option for further re-examination. </w:t>
      </w:r>
    </w:p>
    <w:p w14:paraId="46A8D1C6" w14:textId="77777777" w:rsidR="00581B14" w:rsidRPr="00581B14" w:rsidRDefault="00581B14" w:rsidP="00581B14">
      <w:pPr>
        <w:spacing w:after="0" w:line="240" w:lineRule="auto"/>
        <w:ind w:left="284" w:right="15" w:firstLine="0"/>
        <w:jc w:val="left"/>
        <w:rPr>
          <w:rFonts w:asciiTheme="minorHAnsi" w:hAnsiTheme="minorHAnsi" w:cstheme="minorHAnsi"/>
          <w:sz w:val="22"/>
        </w:rPr>
      </w:pPr>
    </w:p>
    <w:p w14:paraId="3920AF81" w14:textId="6FE773EE" w:rsidR="00CA2CEE" w:rsidRDefault="00CA2CEE" w:rsidP="00B11266">
      <w:pPr>
        <w:pStyle w:val="ListParagraph"/>
        <w:numPr>
          <w:ilvl w:val="0"/>
          <w:numId w:val="30"/>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b/>
          <w:sz w:val="22"/>
        </w:rPr>
        <w:t>Fail</w:t>
      </w:r>
      <w:r w:rsidR="003A12FD" w:rsidRPr="003A12FD">
        <w:rPr>
          <w:rFonts w:asciiTheme="minorHAnsi" w:hAnsiTheme="minorHAnsi" w:cstheme="minorHAnsi"/>
          <w:b/>
          <w:bCs/>
          <w:sz w:val="22"/>
        </w:rPr>
        <w:t>:</w:t>
      </w:r>
      <w:r w:rsidRPr="00E61784">
        <w:rPr>
          <w:rFonts w:asciiTheme="minorHAnsi" w:hAnsiTheme="minorHAnsi" w:cstheme="minorHAnsi"/>
          <w:sz w:val="22"/>
        </w:rPr>
        <w:t xml:space="preserve"> for candidates who are unable to demonstrate an adequate understanding of their research area.  This needs a unanimous vote of the Comprehensive Examination Committee. Failure will lead to immediate termination of the candidate’s program. </w:t>
      </w:r>
    </w:p>
    <w:p w14:paraId="1D57696D" w14:textId="77777777" w:rsidR="003A12FD" w:rsidRPr="003A12FD" w:rsidRDefault="003A12FD" w:rsidP="003A12FD">
      <w:pPr>
        <w:spacing w:after="0" w:line="240" w:lineRule="auto"/>
        <w:ind w:left="284" w:right="15" w:firstLine="0"/>
        <w:jc w:val="left"/>
        <w:rPr>
          <w:rFonts w:asciiTheme="minorHAnsi" w:hAnsiTheme="minorHAnsi" w:cstheme="minorHAnsi"/>
          <w:sz w:val="22"/>
        </w:rPr>
      </w:pPr>
    </w:p>
    <w:p w14:paraId="4966699D" w14:textId="1E8811F7" w:rsidR="00CA2CEE" w:rsidRPr="00E61784" w:rsidRDefault="00CA2CEE" w:rsidP="003A12FD">
      <w:pPr>
        <w:spacing w:after="0" w:line="240" w:lineRule="auto"/>
        <w:ind w:right="15"/>
        <w:jc w:val="left"/>
        <w:rPr>
          <w:rFonts w:asciiTheme="minorHAnsi" w:hAnsiTheme="minorHAnsi" w:cstheme="minorHAnsi"/>
          <w:sz w:val="22"/>
        </w:rPr>
      </w:pPr>
      <w:r w:rsidRPr="00E61784">
        <w:rPr>
          <w:rFonts w:asciiTheme="minorHAnsi" w:hAnsiTheme="minorHAnsi" w:cstheme="minorHAnsi"/>
          <w:sz w:val="22"/>
        </w:rPr>
        <w:t xml:space="preserve">After the oral examination the Chair of the Examination Committee conveys the recommendation of the Comprehensive Examination Committee to the student. The Associate Dean of Graduate Studies &amp; Research at the School of Pharmacy notifies the Dean of the School of Graduate Studies, in writing, of the outcome of the recommendation of the Examining Committee. The Dean of the School of Graduate Studies formally notifies the candidate of the outcome of the examination. </w:t>
      </w:r>
    </w:p>
    <w:p w14:paraId="78EE9083" w14:textId="77777777" w:rsidR="00CA2CEE" w:rsidRPr="00E61784" w:rsidRDefault="00CA2CEE" w:rsidP="008305ED">
      <w:pPr>
        <w:spacing w:line="240" w:lineRule="auto"/>
        <w:ind w:right="15"/>
        <w:rPr>
          <w:rFonts w:asciiTheme="minorHAnsi" w:hAnsiTheme="minorHAnsi" w:cstheme="minorHAnsi"/>
          <w:b/>
          <w:sz w:val="22"/>
        </w:rPr>
      </w:pPr>
    </w:p>
    <w:p w14:paraId="732AE1AE" w14:textId="24559123" w:rsidR="00CA2CEE" w:rsidRPr="00374105" w:rsidRDefault="00374105" w:rsidP="00D02BD1">
      <w:pPr>
        <w:spacing w:line="240" w:lineRule="auto"/>
        <w:ind w:right="15"/>
        <w:jc w:val="left"/>
        <w:rPr>
          <w:rFonts w:asciiTheme="minorHAnsi" w:hAnsiTheme="minorHAnsi" w:cstheme="minorHAnsi"/>
          <w:bCs/>
          <w:szCs w:val="24"/>
          <w:u w:val="single"/>
        </w:rPr>
      </w:pPr>
      <w:r>
        <w:rPr>
          <w:rFonts w:asciiTheme="minorHAnsi" w:hAnsiTheme="minorHAnsi" w:cstheme="minorHAnsi"/>
          <w:b/>
          <w:sz w:val="22"/>
        </w:rPr>
        <w:br w:type="column"/>
      </w:r>
      <w:r w:rsidR="00CA2CEE" w:rsidRPr="00374105">
        <w:rPr>
          <w:rFonts w:asciiTheme="minorHAnsi" w:hAnsiTheme="minorHAnsi" w:cstheme="minorHAnsi"/>
          <w:bCs/>
          <w:szCs w:val="24"/>
          <w:u w:val="single"/>
        </w:rPr>
        <w:lastRenderedPageBreak/>
        <w:t xml:space="preserve">Responsibilities of the Associate Dean of Graduate Studies &amp; Research at the School of Pharmacy, Supervisor, and Members of the Comprehensive Examination Committee: </w:t>
      </w:r>
    </w:p>
    <w:p w14:paraId="4F20C639" w14:textId="77777777" w:rsidR="00CA2CEE" w:rsidRPr="00E61784" w:rsidRDefault="00CA2CEE" w:rsidP="008305ED">
      <w:pPr>
        <w:spacing w:line="240" w:lineRule="auto"/>
        <w:ind w:right="15"/>
        <w:rPr>
          <w:rFonts w:asciiTheme="minorHAnsi" w:hAnsiTheme="minorHAnsi" w:cstheme="minorHAnsi"/>
          <w:sz w:val="22"/>
        </w:rPr>
      </w:pPr>
    </w:p>
    <w:p w14:paraId="376155D8" w14:textId="72DA3530"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The supervisor recommends the names of possible members of the Comprehensive Examination Committee to the Associate Dean of Graduate Studies &amp; Research at the School of Pharmacy. </w:t>
      </w:r>
    </w:p>
    <w:p w14:paraId="383755F1" w14:textId="77777777" w:rsidR="0066249A" w:rsidRPr="0066249A" w:rsidRDefault="0066249A" w:rsidP="0066249A">
      <w:pPr>
        <w:spacing w:after="0" w:line="240" w:lineRule="auto"/>
        <w:ind w:left="284" w:right="15" w:firstLine="0"/>
        <w:jc w:val="left"/>
        <w:rPr>
          <w:rFonts w:asciiTheme="minorHAnsi" w:hAnsiTheme="minorHAnsi" w:cstheme="minorHAnsi"/>
          <w:sz w:val="22"/>
        </w:rPr>
      </w:pPr>
    </w:p>
    <w:p w14:paraId="2C2710D8" w14:textId="518AFF2E"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The Associate Dean of Graduate Studies &amp; Research selects the members of the Examination Committee, confirms the willingness of the members to serve on the committee, and submits their names to the Dean of the School of Graduate Studies. </w:t>
      </w:r>
    </w:p>
    <w:p w14:paraId="5C6C5B2E" w14:textId="77777777" w:rsidR="0066249A" w:rsidRPr="0066249A" w:rsidRDefault="0066249A" w:rsidP="0066249A">
      <w:pPr>
        <w:spacing w:after="0" w:line="240" w:lineRule="auto"/>
        <w:ind w:left="0" w:right="15" w:firstLine="0"/>
        <w:jc w:val="left"/>
        <w:rPr>
          <w:rFonts w:asciiTheme="minorHAnsi" w:hAnsiTheme="minorHAnsi" w:cstheme="minorHAnsi"/>
          <w:sz w:val="22"/>
        </w:rPr>
      </w:pPr>
    </w:p>
    <w:p w14:paraId="71BDEBFB" w14:textId="5CB51D09"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After confirmation of the members of the Comprehensive Examination Committee by the Dean of the School of Graduate Studies, the Associate Dean of Graduate Studies &amp; Research or delegate convenes the first meeting of the Examination Committee. The purpose of this meeting is to determine the dates of written and oral examinations, the format of the examination (“open-” or “closed-” book), and the study materials.  </w:t>
      </w:r>
    </w:p>
    <w:p w14:paraId="2B27C819" w14:textId="77777777" w:rsidR="0066249A" w:rsidRPr="0066249A" w:rsidRDefault="0066249A" w:rsidP="0066249A">
      <w:pPr>
        <w:spacing w:after="0" w:line="240" w:lineRule="auto"/>
        <w:ind w:left="284" w:right="15" w:firstLine="0"/>
        <w:jc w:val="left"/>
        <w:rPr>
          <w:rFonts w:asciiTheme="minorHAnsi" w:hAnsiTheme="minorHAnsi" w:cstheme="minorHAnsi"/>
          <w:sz w:val="22"/>
        </w:rPr>
      </w:pPr>
    </w:p>
    <w:p w14:paraId="5CC4B847" w14:textId="77777777" w:rsidR="0066249A"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Following the first meeting of the Examination Committee, the Chair of the Examining Committee sends a letter to the student indicating the time and place of the examination, the examiners, the format of the exam, and a comprehensive list of study materials provided by all four examiners. </w:t>
      </w:r>
    </w:p>
    <w:p w14:paraId="1E130142" w14:textId="513E4408" w:rsidR="00CA2CEE" w:rsidRPr="0066249A" w:rsidRDefault="00CA2CEE" w:rsidP="0066249A">
      <w:pPr>
        <w:spacing w:after="0" w:line="240" w:lineRule="auto"/>
        <w:ind w:left="0" w:right="15" w:firstLine="0"/>
        <w:jc w:val="left"/>
        <w:rPr>
          <w:rFonts w:asciiTheme="minorHAnsi" w:hAnsiTheme="minorHAnsi" w:cstheme="minorHAnsi"/>
          <w:sz w:val="22"/>
        </w:rPr>
      </w:pPr>
      <w:r w:rsidRPr="0066249A">
        <w:rPr>
          <w:rFonts w:asciiTheme="minorHAnsi" w:hAnsiTheme="minorHAnsi" w:cstheme="minorHAnsi"/>
          <w:sz w:val="22"/>
        </w:rPr>
        <w:t xml:space="preserve"> </w:t>
      </w:r>
    </w:p>
    <w:p w14:paraId="5A240B3B" w14:textId="4CF00E7D"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A second meeting of the Examination Committee is arranged to review questions and prepare for the written examination. Examiners should come to this meeting with questions prepared, typed and copies made for the full committee. The members of Examination Committee must ensure that all examination questions remain confidential. </w:t>
      </w:r>
    </w:p>
    <w:p w14:paraId="3068BA29" w14:textId="77777777" w:rsidR="0066249A" w:rsidRPr="0066249A" w:rsidRDefault="0066249A" w:rsidP="0066249A">
      <w:pPr>
        <w:spacing w:after="0" w:line="240" w:lineRule="auto"/>
        <w:ind w:left="0" w:right="15" w:firstLine="0"/>
        <w:jc w:val="left"/>
        <w:rPr>
          <w:rFonts w:asciiTheme="minorHAnsi" w:hAnsiTheme="minorHAnsi" w:cstheme="minorHAnsi"/>
          <w:sz w:val="22"/>
        </w:rPr>
      </w:pPr>
    </w:p>
    <w:p w14:paraId="33CFB080" w14:textId="6EE9A8CC"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The written component of the comprehensive exam is prepared by the clerk stenographer in the General Office after review by both the Chair of the Examination Committee and the supervisor. </w:t>
      </w:r>
    </w:p>
    <w:p w14:paraId="14FD858F" w14:textId="77777777" w:rsidR="0066249A" w:rsidRPr="0066249A" w:rsidRDefault="0066249A" w:rsidP="0066249A">
      <w:pPr>
        <w:spacing w:after="0" w:line="240" w:lineRule="auto"/>
        <w:ind w:left="0" w:right="15" w:firstLine="0"/>
        <w:jc w:val="left"/>
        <w:rPr>
          <w:rFonts w:asciiTheme="minorHAnsi" w:hAnsiTheme="minorHAnsi" w:cstheme="minorHAnsi"/>
          <w:sz w:val="22"/>
        </w:rPr>
      </w:pPr>
    </w:p>
    <w:p w14:paraId="41B2DEB7" w14:textId="321F7C79"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After completion of the written exam, a copy of the questions and the student’s answers are copied and made available to the student and members of the Examination Committee. The written exam is read but not graded and is used as a basis to conduct the oral examination approximately one week later. </w:t>
      </w:r>
    </w:p>
    <w:p w14:paraId="7CF6FDAD" w14:textId="77777777" w:rsidR="0066249A" w:rsidRPr="0066249A" w:rsidRDefault="0066249A" w:rsidP="0066249A">
      <w:pPr>
        <w:spacing w:after="0" w:line="240" w:lineRule="auto"/>
        <w:ind w:left="0" w:right="15" w:firstLine="0"/>
        <w:jc w:val="left"/>
        <w:rPr>
          <w:rFonts w:asciiTheme="minorHAnsi" w:hAnsiTheme="minorHAnsi" w:cstheme="minorHAnsi"/>
          <w:sz w:val="22"/>
        </w:rPr>
      </w:pPr>
    </w:p>
    <w:p w14:paraId="0616DF83" w14:textId="14DAA23D"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The Examination Committee should meet in camera before the oral examination to review the written component of the examination. The purpose of this meeting is to identify any particular concerns, areas of weakness and strength, and the order of questioning for the oral component of the examination. </w:t>
      </w:r>
    </w:p>
    <w:p w14:paraId="228EB1F0" w14:textId="77777777" w:rsidR="0066249A" w:rsidRPr="0066249A" w:rsidRDefault="0066249A" w:rsidP="0066249A">
      <w:pPr>
        <w:spacing w:after="0" w:line="240" w:lineRule="auto"/>
        <w:ind w:left="0" w:right="15" w:firstLine="0"/>
        <w:jc w:val="left"/>
        <w:rPr>
          <w:rFonts w:asciiTheme="minorHAnsi" w:hAnsiTheme="minorHAnsi" w:cstheme="minorHAnsi"/>
          <w:sz w:val="22"/>
        </w:rPr>
      </w:pPr>
    </w:p>
    <w:p w14:paraId="36894D94" w14:textId="38E59B04" w:rsidR="00CA2CEE"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 xml:space="preserve">After the oral examination the student is asked to leave and the Examination Committee makes a decision on the outcome of the examination, based on both the written and oral components, following the guidelines of the University Calendar. The Chair of the Examination Committee notifies the student of the recommendation to be made to the Dean of the School of Graduate Studies. </w:t>
      </w:r>
    </w:p>
    <w:p w14:paraId="5B78B7F3" w14:textId="77777777" w:rsidR="0066249A" w:rsidRPr="0066249A" w:rsidRDefault="0066249A" w:rsidP="0066249A">
      <w:pPr>
        <w:spacing w:after="0" w:line="240" w:lineRule="auto"/>
        <w:ind w:left="0" w:right="15" w:firstLine="0"/>
        <w:jc w:val="left"/>
        <w:rPr>
          <w:rFonts w:asciiTheme="minorHAnsi" w:hAnsiTheme="minorHAnsi" w:cstheme="minorHAnsi"/>
          <w:sz w:val="22"/>
        </w:rPr>
      </w:pPr>
    </w:p>
    <w:p w14:paraId="4C71E7F4" w14:textId="77777777" w:rsidR="00CA2CEE" w:rsidRPr="00E61784" w:rsidRDefault="00CA2CEE" w:rsidP="004D53E1">
      <w:pPr>
        <w:pStyle w:val="ListParagraph"/>
        <w:numPr>
          <w:ilvl w:val="0"/>
          <w:numId w:val="31"/>
        </w:numPr>
        <w:spacing w:after="0" w:line="240" w:lineRule="auto"/>
        <w:ind w:left="709" w:right="15" w:hanging="425"/>
        <w:jc w:val="left"/>
        <w:rPr>
          <w:rFonts w:asciiTheme="minorHAnsi" w:hAnsiTheme="minorHAnsi" w:cstheme="minorHAnsi"/>
          <w:sz w:val="22"/>
        </w:rPr>
      </w:pPr>
      <w:r w:rsidRPr="00E61784">
        <w:rPr>
          <w:rFonts w:asciiTheme="minorHAnsi" w:hAnsiTheme="minorHAnsi" w:cstheme="minorHAnsi"/>
          <w:sz w:val="22"/>
        </w:rPr>
        <w:t>The Associate Dean of Graduate Studies &amp; Research at the School of Pharmacy makes a written recommendation to the Dean of the School of Graduate Studies who then notifies the student of the final decision.</w:t>
      </w:r>
    </w:p>
    <w:p w14:paraId="28E44B70" w14:textId="7BAA8029" w:rsidR="006E5D8F" w:rsidRPr="001F0ED9" w:rsidRDefault="006E5D8F" w:rsidP="008305ED">
      <w:pPr>
        <w:spacing w:after="0" w:line="240" w:lineRule="auto"/>
        <w:ind w:left="0" w:right="15" w:firstLine="0"/>
        <w:jc w:val="left"/>
        <w:rPr>
          <w:rFonts w:asciiTheme="minorHAnsi" w:hAnsiTheme="minorHAnsi" w:cstheme="minorHAnsi"/>
          <w:sz w:val="22"/>
        </w:rPr>
      </w:pPr>
    </w:p>
    <w:p w14:paraId="592EC7AD" w14:textId="77777777" w:rsidR="006E5D8F" w:rsidRPr="00B04457" w:rsidRDefault="00D30958" w:rsidP="008305ED">
      <w:pPr>
        <w:pStyle w:val="Heading3"/>
        <w:spacing w:line="240" w:lineRule="auto"/>
        <w:ind w:right="15"/>
        <w:rPr>
          <w:rFonts w:asciiTheme="minorHAnsi" w:hAnsiTheme="minorHAnsi" w:cstheme="minorHAnsi"/>
          <w:b w:val="0"/>
          <w:bCs/>
          <w:i/>
          <w:iCs/>
          <w:sz w:val="24"/>
          <w:szCs w:val="24"/>
          <w:u w:val="single"/>
        </w:rPr>
      </w:pPr>
      <w:bookmarkStart w:id="9" w:name="_Toc111554537"/>
      <w:r w:rsidRPr="00B04457">
        <w:rPr>
          <w:rFonts w:asciiTheme="minorHAnsi" w:hAnsiTheme="minorHAnsi" w:cstheme="minorHAnsi"/>
          <w:b w:val="0"/>
          <w:bCs/>
          <w:i/>
          <w:iCs/>
          <w:sz w:val="24"/>
          <w:szCs w:val="24"/>
          <w:u w:val="single"/>
        </w:rPr>
        <w:lastRenderedPageBreak/>
        <w:t>Doctoral Thesis</w:t>
      </w:r>
      <w:bookmarkEnd w:id="9"/>
      <w:r w:rsidRPr="00B04457">
        <w:rPr>
          <w:rFonts w:asciiTheme="minorHAnsi" w:hAnsiTheme="minorHAnsi" w:cstheme="minorHAnsi"/>
          <w:b w:val="0"/>
          <w:bCs/>
          <w:i/>
          <w:iCs/>
          <w:sz w:val="24"/>
          <w:szCs w:val="24"/>
          <w:u w:val="single"/>
        </w:rPr>
        <w:t xml:space="preserve"> </w:t>
      </w:r>
    </w:p>
    <w:p w14:paraId="41F89697" w14:textId="06405257" w:rsidR="006E5D8F" w:rsidRPr="00B04457" w:rsidRDefault="00D30958" w:rsidP="00B04457">
      <w:pPr>
        <w:spacing w:after="0" w:line="240" w:lineRule="auto"/>
        <w:ind w:left="0" w:right="15" w:firstLine="0"/>
        <w:jc w:val="left"/>
        <w:rPr>
          <w:rFonts w:asciiTheme="minorHAnsi" w:hAnsiTheme="minorHAnsi" w:cstheme="minorHAnsi"/>
          <w:sz w:val="22"/>
        </w:rPr>
      </w:pPr>
      <w:r w:rsidRPr="00B04457">
        <w:rPr>
          <w:rFonts w:asciiTheme="minorHAnsi" w:hAnsiTheme="minorHAnsi" w:cstheme="minorHAnsi"/>
          <w:sz w:val="22"/>
        </w:rPr>
        <w:t xml:space="preserve">Guidelines for submission, examination procedures, examiners, examination of the written thesis, oral </w:t>
      </w:r>
      <w:r w:rsidR="00E04C8B" w:rsidRPr="00B04457">
        <w:rPr>
          <w:rFonts w:asciiTheme="minorHAnsi" w:hAnsiTheme="minorHAnsi" w:cstheme="minorHAnsi"/>
          <w:sz w:val="22"/>
        </w:rPr>
        <w:t>defense</w:t>
      </w:r>
      <w:r w:rsidRPr="00B04457">
        <w:rPr>
          <w:rFonts w:asciiTheme="minorHAnsi" w:hAnsiTheme="minorHAnsi" w:cstheme="minorHAnsi"/>
          <w:sz w:val="22"/>
        </w:rPr>
        <w:t xml:space="preserve">, time limit for corrections and revisions of thesis, and graduation procedures can be found at: </w:t>
      </w:r>
    </w:p>
    <w:p w14:paraId="78B60548" w14:textId="71924CFC" w:rsidR="006E5D8F" w:rsidRPr="00B04457" w:rsidRDefault="00000000" w:rsidP="00B04457">
      <w:pPr>
        <w:spacing w:line="240" w:lineRule="auto"/>
        <w:ind w:left="0" w:right="15"/>
        <w:rPr>
          <w:rFonts w:asciiTheme="minorHAnsi" w:hAnsiTheme="minorHAnsi" w:cstheme="minorHAnsi"/>
          <w:sz w:val="22"/>
        </w:rPr>
      </w:pPr>
      <w:hyperlink r:id="rId23" w:history="1">
        <w:r w:rsidR="006F4133" w:rsidRPr="00B04457">
          <w:rPr>
            <w:rStyle w:val="Hyperlink"/>
            <w:rFonts w:asciiTheme="minorHAnsi" w:hAnsiTheme="minorHAnsi" w:cstheme="minorHAnsi"/>
            <w:sz w:val="22"/>
          </w:rPr>
          <w:t>http://www.mun.ca/regoff/calendar/2012_2013/sectionNo=GRAD-0026</w:t>
        </w:r>
      </w:hyperlink>
      <w:r w:rsidR="006F4133" w:rsidRPr="00B04457">
        <w:rPr>
          <w:rFonts w:asciiTheme="minorHAnsi" w:hAnsiTheme="minorHAnsi" w:cstheme="minorHAnsi"/>
          <w:sz w:val="22"/>
        </w:rPr>
        <w:t xml:space="preserve"> </w:t>
      </w:r>
    </w:p>
    <w:p w14:paraId="79F5809B"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58D688F5" w14:textId="0E14B9B7" w:rsidR="006E5D8F" w:rsidRPr="00B04457" w:rsidRDefault="00D30958" w:rsidP="00E564C8">
      <w:pPr>
        <w:pStyle w:val="Heading6"/>
        <w:spacing w:line="240" w:lineRule="auto"/>
        <w:ind w:left="0" w:right="15" w:firstLine="0"/>
        <w:rPr>
          <w:rFonts w:asciiTheme="minorHAnsi" w:hAnsiTheme="minorHAnsi" w:cstheme="minorHAnsi"/>
          <w:b w:val="0"/>
          <w:bCs/>
          <w:i/>
          <w:iCs/>
          <w:szCs w:val="24"/>
          <w:u w:val="single"/>
        </w:rPr>
      </w:pPr>
      <w:r w:rsidRPr="00B04457">
        <w:rPr>
          <w:rFonts w:asciiTheme="minorHAnsi" w:hAnsiTheme="minorHAnsi" w:cstheme="minorHAnsi"/>
          <w:b w:val="0"/>
          <w:bCs/>
          <w:i/>
          <w:iCs/>
          <w:szCs w:val="24"/>
          <w:u w:val="single"/>
        </w:rPr>
        <w:t xml:space="preserve">Submission </w:t>
      </w:r>
    </w:p>
    <w:p w14:paraId="3950FFAA" w14:textId="7E8BA592" w:rsidR="006E5D8F"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Students who wish to graduate from the PhD program must submit their thesis for examination at least four months before the university convocation at which the awarding of the degree is expected.</w:t>
      </w:r>
      <w:r w:rsidR="00E61784">
        <w:rPr>
          <w:rFonts w:asciiTheme="minorHAnsi" w:hAnsiTheme="minorHAnsi" w:cstheme="minorHAnsi"/>
          <w:sz w:val="22"/>
        </w:rPr>
        <w:t xml:space="preserve"> </w:t>
      </w:r>
      <w:r w:rsidRPr="001F0ED9">
        <w:rPr>
          <w:rFonts w:asciiTheme="minorHAnsi" w:hAnsiTheme="minorHAnsi" w:cstheme="minorHAnsi"/>
          <w:sz w:val="22"/>
        </w:rPr>
        <w:t xml:space="preserve">Candidates must submit:  </w:t>
      </w:r>
    </w:p>
    <w:p w14:paraId="4E5BBDB6" w14:textId="77777777" w:rsidR="00B04457" w:rsidRPr="001F0ED9" w:rsidRDefault="00B04457" w:rsidP="008305ED">
      <w:pPr>
        <w:spacing w:line="240" w:lineRule="auto"/>
        <w:ind w:left="-5" w:right="15"/>
        <w:jc w:val="left"/>
        <w:rPr>
          <w:rFonts w:asciiTheme="minorHAnsi" w:hAnsiTheme="minorHAnsi" w:cstheme="minorHAnsi"/>
          <w:sz w:val="22"/>
        </w:rPr>
      </w:pPr>
    </w:p>
    <w:p w14:paraId="632EA8E4" w14:textId="276DB6B8" w:rsidR="00310825" w:rsidRPr="00310825" w:rsidRDefault="00D30958" w:rsidP="008305ED">
      <w:pPr>
        <w:numPr>
          <w:ilvl w:val="0"/>
          <w:numId w:val="23"/>
        </w:numPr>
        <w:spacing w:after="0" w:line="240" w:lineRule="auto"/>
        <w:ind w:right="15"/>
        <w:jc w:val="left"/>
        <w:rPr>
          <w:rFonts w:asciiTheme="minorHAnsi" w:hAnsiTheme="minorHAnsi" w:cstheme="minorHAnsi"/>
          <w:sz w:val="22"/>
        </w:rPr>
      </w:pPr>
      <w:r w:rsidRPr="001F0ED9">
        <w:rPr>
          <w:rFonts w:asciiTheme="minorHAnsi" w:hAnsiTheme="minorHAnsi" w:cstheme="minorHAnsi"/>
          <w:sz w:val="22"/>
        </w:rPr>
        <w:t xml:space="preserve">A completed “Application for Graduate Degrees and Diplomas” form to the </w:t>
      </w:r>
      <w:r w:rsidRPr="00E04C8B">
        <w:rPr>
          <w:rFonts w:asciiTheme="minorHAnsi" w:hAnsiTheme="minorHAnsi" w:cstheme="minorHAnsi"/>
          <w:sz w:val="22"/>
        </w:rPr>
        <w:t xml:space="preserve">Office of </w:t>
      </w:r>
      <w:r w:rsidR="00E04C8B">
        <w:rPr>
          <w:rFonts w:asciiTheme="minorHAnsi" w:hAnsiTheme="minorHAnsi" w:cstheme="minorHAnsi"/>
          <w:sz w:val="22"/>
        </w:rPr>
        <w:t xml:space="preserve">the </w:t>
      </w:r>
      <w:r w:rsidRPr="00E04C8B">
        <w:rPr>
          <w:rFonts w:asciiTheme="minorHAnsi" w:hAnsiTheme="minorHAnsi" w:cstheme="minorHAnsi"/>
          <w:sz w:val="22"/>
        </w:rPr>
        <w:t xml:space="preserve">Registrar.  </w:t>
      </w:r>
      <w:r w:rsidR="00E04C8B" w:rsidRPr="00E04C8B">
        <w:t xml:space="preserve"> </w:t>
      </w:r>
      <w:r w:rsidR="00310825" w:rsidRPr="00310825">
        <w:rPr>
          <w:rFonts w:asciiTheme="minorHAnsi" w:hAnsiTheme="minorHAnsi" w:cstheme="minorHAnsi"/>
          <w:sz w:val="22"/>
        </w:rPr>
        <w:t>Once you start the last semester of your academic program, you should plan to submit an Application for Graduation through Memorial Self-Service under the "Graduation" menu option.</w:t>
      </w:r>
      <w:r w:rsidR="00E61784">
        <w:rPr>
          <w:rFonts w:asciiTheme="minorHAnsi" w:hAnsiTheme="minorHAnsi" w:cstheme="minorHAnsi"/>
          <w:sz w:val="22"/>
        </w:rPr>
        <w:t xml:space="preserve"> </w:t>
      </w:r>
      <w:r w:rsidR="00310825" w:rsidRPr="00310825">
        <w:rPr>
          <w:rFonts w:asciiTheme="minorHAnsi" w:hAnsiTheme="minorHAnsi" w:cstheme="minorHAnsi"/>
          <w:sz w:val="22"/>
        </w:rPr>
        <w:t>Without submitting the form, you will not be considered for graduation automatically.</w:t>
      </w:r>
      <w:r w:rsidR="00E61784">
        <w:rPr>
          <w:rFonts w:asciiTheme="minorHAnsi" w:hAnsiTheme="minorHAnsi" w:cstheme="minorHAnsi"/>
          <w:sz w:val="22"/>
        </w:rPr>
        <w:t xml:space="preserve"> </w:t>
      </w:r>
      <w:r w:rsidR="00310825">
        <w:rPr>
          <w:rFonts w:asciiTheme="minorHAnsi" w:hAnsiTheme="minorHAnsi" w:cstheme="minorHAnsi"/>
          <w:sz w:val="22"/>
        </w:rPr>
        <w:t xml:space="preserve"> </w:t>
      </w:r>
      <w:hyperlink r:id="rId24" w:history="1">
        <w:r w:rsidR="00310825" w:rsidRPr="00267AC3">
          <w:rPr>
            <w:rStyle w:val="Hyperlink"/>
            <w:rFonts w:asciiTheme="minorHAnsi" w:hAnsiTheme="minorHAnsi" w:cstheme="minorHAnsi"/>
            <w:sz w:val="22"/>
          </w:rPr>
          <w:t>https://www.mun.ca/regoff/graduation/apply/</w:t>
        </w:r>
      </w:hyperlink>
      <w:r w:rsidR="00310825">
        <w:rPr>
          <w:rFonts w:asciiTheme="minorHAnsi" w:hAnsiTheme="minorHAnsi" w:cstheme="minorHAnsi"/>
          <w:sz w:val="22"/>
        </w:rPr>
        <w:t xml:space="preserve"> </w:t>
      </w:r>
    </w:p>
    <w:p w14:paraId="1D535A46" w14:textId="1DD8693C" w:rsidR="006E5D8F" w:rsidRPr="008A7F98" w:rsidRDefault="00977CDF" w:rsidP="008305ED">
      <w:pPr>
        <w:pStyle w:val="ListParagraph"/>
        <w:numPr>
          <w:ilvl w:val="0"/>
          <w:numId w:val="23"/>
        </w:numPr>
        <w:spacing w:line="240" w:lineRule="auto"/>
        <w:ind w:right="15"/>
        <w:jc w:val="left"/>
        <w:rPr>
          <w:rFonts w:asciiTheme="minorHAnsi" w:hAnsiTheme="minorHAnsi" w:cstheme="minorHAnsi"/>
          <w:sz w:val="22"/>
        </w:rPr>
      </w:pPr>
      <w:r>
        <w:rPr>
          <w:rFonts w:asciiTheme="minorHAnsi" w:hAnsiTheme="minorHAnsi" w:cstheme="minorHAnsi"/>
          <w:sz w:val="22"/>
        </w:rPr>
        <w:t>T</w:t>
      </w:r>
      <w:r w:rsidR="00D30958" w:rsidRPr="008A7F98">
        <w:rPr>
          <w:rFonts w:asciiTheme="minorHAnsi" w:hAnsiTheme="minorHAnsi" w:cstheme="minorHAnsi"/>
          <w:sz w:val="22"/>
        </w:rPr>
        <w:t>he completed thesis</w:t>
      </w:r>
      <w:r>
        <w:rPr>
          <w:rFonts w:asciiTheme="minorHAnsi" w:hAnsiTheme="minorHAnsi" w:cstheme="minorHAnsi"/>
          <w:sz w:val="22"/>
        </w:rPr>
        <w:t xml:space="preserve"> (in printed or electronic format)</w:t>
      </w:r>
      <w:r w:rsidR="00D30958" w:rsidRPr="008A7F98">
        <w:rPr>
          <w:rFonts w:asciiTheme="minorHAnsi" w:hAnsiTheme="minorHAnsi" w:cstheme="minorHAnsi"/>
          <w:sz w:val="22"/>
        </w:rPr>
        <w:t xml:space="preserve"> along with completed and signed “</w:t>
      </w:r>
      <w:hyperlink r:id="rId25" w:history="1">
        <w:r w:rsidR="00D30958" w:rsidRPr="00E04C8B">
          <w:rPr>
            <w:rStyle w:val="Hyperlink"/>
            <w:rFonts w:asciiTheme="minorHAnsi" w:hAnsiTheme="minorHAnsi" w:cstheme="minorHAnsi"/>
            <w:sz w:val="22"/>
          </w:rPr>
          <w:t>Thesis Deposit Form</w:t>
        </w:r>
      </w:hyperlink>
      <w:r w:rsidR="00D30958" w:rsidRPr="008A7F98">
        <w:rPr>
          <w:rFonts w:asciiTheme="minorHAnsi" w:hAnsiTheme="minorHAnsi" w:cstheme="minorHAnsi"/>
          <w:sz w:val="22"/>
        </w:rPr>
        <w:t xml:space="preserve">”. </w:t>
      </w:r>
    </w:p>
    <w:p w14:paraId="21BAED9F" w14:textId="77777777" w:rsidR="006E5D8F" w:rsidRDefault="00D30958" w:rsidP="008305ED">
      <w:pPr>
        <w:numPr>
          <w:ilvl w:val="0"/>
          <w:numId w:val="23"/>
        </w:numPr>
        <w:spacing w:line="240" w:lineRule="auto"/>
        <w:ind w:right="15"/>
        <w:jc w:val="left"/>
        <w:rPr>
          <w:rFonts w:asciiTheme="minorHAnsi" w:hAnsiTheme="minorHAnsi" w:cstheme="minorHAnsi"/>
          <w:sz w:val="22"/>
        </w:rPr>
      </w:pPr>
      <w:r w:rsidRPr="001F0ED9">
        <w:rPr>
          <w:rFonts w:asciiTheme="minorHAnsi" w:hAnsiTheme="minorHAnsi" w:cstheme="minorHAnsi"/>
          <w:sz w:val="22"/>
        </w:rPr>
        <w:t>“</w:t>
      </w:r>
      <w:hyperlink r:id="rId26" w:history="1">
        <w:r w:rsidRPr="004706D4">
          <w:rPr>
            <w:rStyle w:val="Hyperlink"/>
            <w:rFonts w:asciiTheme="minorHAnsi" w:hAnsiTheme="minorHAnsi" w:cstheme="minorHAnsi"/>
            <w:sz w:val="22"/>
          </w:rPr>
          <w:t>Non Exclusive Licence to Reproduce</w:t>
        </w:r>
      </w:hyperlink>
      <w:r w:rsidRPr="001F0ED9">
        <w:rPr>
          <w:rFonts w:asciiTheme="minorHAnsi" w:hAnsiTheme="minorHAnsi" w:cstheme="minorHAnsi"/>
          <w:sz w:val="22"/>
        </w:rPr>
        <w:t>”, “</w:t>
      </w:r>
      <w:hyperlink r:id="rId27" w:history="1">
        <w:r w:rsidRPr="004706D4">
          <w:rPr>
            <w:rStyle w:val="Hyperlink"/>
            <w:rFonts w:asciiTheme="minorHAnsi" w:hAnsiTheme="minorHAnsi" w:cstheme="minorHAnsi"/>
            <w:sz w:val="22"/>
          </w:rPr>
          <w:t>Request to Include Copyright Material</w:t>
        </w:r>
      </w:hyperlink>
      <w:r w:rsidRPr="001F0ED9">
        <w:rPr>
          <w:rFonts w:asciiTheme="minorHAnsi" w:hAnsiTheme="minorHAnsi" w:cstheme="minorHAnsi"/>
          <w:sz w:val="22"/>
        </w:rPr>
        <w:t xml:space="preserve">” if required.  </w:t>
      </w:r>
    </w:p>
    <w:p w14:paraId="6E15F6CD" w14:textId="77777777" w:rsidR="00310825" w:rsidRPr="001F0ED9" w:rsidRDefault="00310825" w:rsidP="008305ED">
      <w:pPr>
        <w:spacing w:line="240" w:lineRule="auto"/>
        <w:ind w:left="720" w:right="15" w:firstLine="0"/>
        <w:jc w:val="left"/>
        <w:rPr>
          <w:rFonts w:asciiTheme="minorHAnsi" w:hAnsiTheme="minorHAnsi" w:cstheme="minorHAnsi"/>
          <w:sz w:val="22"/>
        </w:rPr>
      </w:pPr>
    </w:p>
    <w:p w14:paraId="1B3ABD76" w14:textId="3D349CB4"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A “Dissertation Abstracts International Submission Form</w:t>
      </w:r>
      <w:r w:rsidR="004B755D">
        <w:rPr>
          <w:rFonts w:asciiTheme="minorHAnsi" w:hAnsiTheme="minorHAnsi" w:cstheme="minorHAnsi"/>
          <w:sz w:val="22"/>
        </w:rPr>
        <w:t>”</w:t>
      </w:r>
      <w:r w:rsidR="00977CDF">
        <w:rPr>
          <w:rFonts w:asciiTheme="minorHAnsi" w:hAnsiTheme="minorHAnsi" w:cstheme="minorHAnsi"/>
          <w:sz w:val="22"/>
        </w:rPr>
        <w:t xml:space="preserve">, available from the SGS, </w:t>
      </w:r>
      <w:r w:rsidRPr="001F0ED9">
        <w:rPr>
          <w:rFonts w:asciiTheme="minorHAnsi" w:hAnsiTheme="minorHAnsi" w:cstheme="minorHAnsi"/>
          <w:sz w:val="22"/>
        </w:rPr>
        <w:t>must be submitted to the supervisor who, subsequent to the completion of the “</w:t>
      </w:r>
      <w:hyperlink r:id="rId28" w:history="1">
        <w:r w:rsidRPr="004706D4">
          <w:rPr>
            <w:rStyle w:val="Hyperlink"/>
            <w:rFonts w:asciiTheme="minorHAnsi" w:hAnsiTheme="minorHAnsi" w:cstheme="minorHAnsi"/>
            <w:sz w:val="22"/>
          </w:rPr>
          <w:t>Supervisory Committee Approval Form</w:t>
        </w:r>
      </w:hyperlink>
      <w:r w:rsidRPr="001F0ED9">
        <w:rPr>
          <w:rFonts w:asciiTheme="minorHAnsi" w:hAnsiTheme="minorHAnsi" w:cstheme="minorHAnsi"/>
          <w:sz w:val="22"/>
        </w:rPr>
        <w:t xml:space="preserve">”, submits the thesis to the Associate Dean of Graduate Studies </w:t>
      </w:r>
      <w:r w:rsidR="00310825">
        <w:rPr>
          <w:rFonts w:asciiTheme="minorHAnsi" w:hAnsiTheme="minorHAnsi" w:cstheme="minorHAnsi"/>
          <w:sz w:val="22"/>
        </w:rPr>
        <w:t>&amp;</w:t>
      </w:r>
      <w:r w:rsidR="00310825" w:rsidRPr="001F0ED9">
        <w:rPr>
          <w:rFonts w:asciiTheme="minorHAnsi" w:hAnsiTheme="minorHAnsi" w:cstheme="minorHAnsi"/>
          <w:sz w:val="22"/>
        </w:rPr>
        <w:t xml:space="preserve"> </w:t>
      </w:r>
      <w:r w:rsidRPr="001F0ED9">
        <w:rPr>
          <w:rFonts w:asciiTheme="minorHAnsi" w:hAnsiTheme="minorHAnsi" w:cstheme="minorHAnsi"/>
          <w:sz w:val="22"/>
        </w:rPr>
        <w:t xml:space="preserve">Research at the School of Pharmacy. </w:t>
      </w:r>
    </w:p>
    <w:p w14:paraId="37832365"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CF1B721" w14:textId="7D6B261A"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Each copy of the thesis must be enclosed in an envelope bearing the student’s name, academic unit, thesis title, date, and degree sought and must be accompanied by a signed “</w:t>
      </w:r>
      <w:hyperlink r:id="rId29" w:history="1">
        <w:r w:rsidRPr="00977CDF">
          <w:rPr>
            <w:rStyle w:val="Hyperlink"/>
            <w:rFonts w:asciiTheme="minorHAnsi" w:hAnsiTheme="minorHAnsi" w:cstheme="minorHAnsi"/>
            <w:sz w:val="22"/>
          </w:rPr>
          <w:t>Appointment of Examiners: Doctoral Degree</w:t>
        </w:r>
      </w:hyperlink>
      <w:r w:rsidRPr="001F0ED9">
        <w:rPr>
          <w:rFonts w:asciiTheme="minorHAnsi" w:hAnsiTheme="minorHAnsi" w:cstheme="minorHAnsi"/>
          <w:sz w:val="22"/>
        </w:rPr>
        <w:t xml:space="preserve">” form for submission to the School of  Graduate Studies. </w:t>
      </w:r>
    </w:p>
    <w:p w14:paraId="200B33DF"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28F06FD" w14:textId="4EC5FBD8" w:rsidR="006E5D8F" w:rsidRPr="003663A6" w:rsidRDefault="00D30958" w:rsidP="003663A6">
      <w:pPr>
        <w:pStyle w:val="Heading6"/>
        <w:spacing w:line="240" w:lineRule="auto"/>
        <w:ind w:left="-5" w:right="15"/>
        <w:rPr>
          <w:rFonts w:asciiTheme="minorHAnsi" w:hAnsiTheme="minorHAnsi" w:cstheme="minorHAnsi"/>
          <w:b w:val="0"/>
          <w:bCs/>
          <w:i/>
          <w:iCs/>
          <w:szCs w:val="24"/>
          <w:u w:val="single"/>
        </w:rPr>
      </w:pPr>
      <w:r w:rsidRPr="003663A6">
        <w:rPr>
          <w:rFonts w:asciiTheme="minorHAnsi" w:hAnsiTheme="minorHAnsi" w:cstheme="minorHAnsi"/>
          <w:b w:val="0"/>
          <w:bCs/>
          <w:i/>
          <w:iCs/>
          <w:szCs w:val="24"/>
          <w:u w:val="single"/>
        </w:rPr>
        <w:t xml:space="preserve">Examination Procedures </w:t>
      </w:r>
    </w:p>
    <w:p w14:paraId="540BFA71" w14:textId="5703A83E"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A PhD thesis received in proper order by the School of Graduate Studies is normally sent to the appropriate examiners within five working days.</w:t>
      </w:r>
      <w:r w:rsidR="00E61784">
        <w:rPr>
          <w:rFonts w:asciiTheme="minorHAnsi" w:hAnsiTheme="minorHAnsi" w:cstheme="minorHAnsi"/>
          <w:sz w:val="22"/>
        </w:rPr>
        <w:t xml:space="preserve"> </w:t>
      </w:r>
      <w:r w:rsidRPr="001F0ED9">
        <w:rPr>
          <w:rFonts w:asciiTheme="minorHAnsi" w:hAnsiTheme="minorHAnsi" w:cstheme="minorHAnsi"/>
          <w:sz w:val="22"/>
        </w:rPr>
        <w:t>The examiners are asked to examine the thesis and return their evaluations within three weeks. In addition to an acceptable written dissertation, Doctoral candidates must demonstrate their ability to defend their work in a public oral examination.</w:t>
      </w:r>
      <w:r w:rsidR="00E61784">
        <w:rPr>
          <w:rFonts w:asciiTheme="minorHAnsi" w:hAnsiTheme="minorHAnsi" w:cstheme="minorHAnsi"/>
          <w:sz w:val="22"/>
        </w:rPr>
        <w:t xml:space="preserve"> </w:t>
      </w:r>
      <w:r w:rsidRPr="001F0ED9">
        <w:rPr>
          <w:rFonts w:asciiTheme="minorHAnsi" w:hAnsiTheme="minorHAnsi" w:cstheme="minorHAnsi"/>
          <w:sz w:val="22"/>
        </w:rPr>
        <w:t>The final decision on whether a candidate will be recommended for the award of the degree is made only at the conclusion of the oral examination.</w:t>
      </w:r>
      <w:r w:rsidR="00E61784">
        <w:rPr>
          <w:rFonts w:asciiTheme="minorHAnsi" w:hAnsiTheme="minorHAnsi" w:cstheme="minorHAnsi"/>
          <w:sz w:val="22"/>
        </w:rPr>
        <w:t xml:space="preserve"> </w:t>
      </w:r>
      <w:r w:rsidRPr="001F0ED9">
        <w:rPr>
          <w:rFonts w:asciiTheme="minorHAnsi" w:hAnsiTheme="minorHAnsi" w:cstheme="minorHAnsi"/>
          <w:sz w:val="22"/>
        </w:rPr>
        <w:t xml:space="preserve">The Chair of the oral examination conveys the results of the thesis examination in writing to the examination board, the supervisory committee, and the Dean of the School of Pharmacy (or his/her delegate) at the meeting prior to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which should be held approximately eight weeks after initial receipt of the dissertation by the School of Graduate Studies.</w:t>
      </w:r>
      <w:r w:rsidR="00E61784">
        <w:rPr>
          <w:rFonts w:asciiTheme="minorHAnsi" w:hAnsiTheme="minorHAnsi" w:cstheme="minorHAnsi"/>
          <w:sz w:val="22"/>
        </w:rPr>
        <w:t xml:space="preserve"> </w:t>
      </w:r>
      <w:r w:rsidRPr="001F0ED9">
        <w:rPr>
          <w:rFonts w:asciiTheme="minorHAnsi" w:hAnsiTheme="minorHAnsi" w:cstheme="minorHAnsi"/>
          <w:sz w:val="22"/>
        </w:rPr>
        <w:t xml:space="preserve">The candidate receives the written dissertation examination report after conclusion of the oral examination. </w:t>
      </w:r>
    </w:p>
    <w:p w14:paraId="6A93956B"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0F1B4BE0" w14:textId="7A380C20" w:rsidR="006E5D8F" w:rsidRPr="003663A6" w:rsidRDefault="00310825" w:rsidP="003663A6">
      <w:pPr>
        <w:pStyle w:val="Heading6"/>
        <w:spacing w:line="240" w:lineRule="auto"/>
        <w:ind w:left="-5" w:right="15"/>
        <w:rPr>
          <w:b w:val="0"/>
          <w:bCs/>
          <w:i/>
          <w:iCs/>
          <w:szCs w:val="24"/>
          <w:u w:val="single"/>
        </w:rPr>
      </w:pPr>
      <w:r w:rsidRPr="003663A6">
        <w:rPr>
          <w:rFonts w:asciiTheme="minorHAnsi" w:hAnsiTheme="minorHAnsi" w:cstheme="minorHAnsi"/>
          <w:b w:val="0"/>
          <w:bCs/>
          <w:i/>
          <w:iCs/>
          <w:szCs w:val="24"/>
          <w:u w:val="single"/>
        </w:rPr>
        <w:t xml:space="preserve">Thesis </w:t>
      </w:r>
      <w:r w:rsidR="00D30958" w:rsidRPr="003663A6">
        <w:rPr>
          <w:rFonts w:asciiTheme="minorHAnsi" w:hAnsiTheme="minorHAnsi" w:cstheme="minorHAnsi"/>
          <w:b w:val="0"/>
          <w:bCs/>
          <w:i/>
          <w:iCs/>
          <w:szCs w:val="24"/>
          <w:u w:val="single"/>
        </w:rPr>
        <w:t>Examiners</w:t>
      </w:r>
      <w:r w:rsidR="00D30958" w:rsidRPr="003663A6">
        <w:rPr>
          <w:b w:val="0"/>
          <w:bCs/>
          <w:i/>
          <w:iCs/>
          <w:szCs w:val="24"/>
          <w:u w:val="single"/>
        </w:rPr>
        <w:t xml:space="preserve">  </w:t>
      </w:r>
    </w:p>
    <w:p w14:paraId="253A8341" w14:textId="648E165C"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The doctoral thesis will be assessed by a Thesis Examining Board that consists of four members.</w:t>
      </w:r>
      <w:r w:rsidR="00E61784">
        <w:rPr>
          <w:rFonts w:asciiTheme="minorHAnsi" w:hAnsiTheme="minorHAnsi" w:cstheme="minorHAnsi"/>
          <w:sz w:val="22"/>
        </w:rPr>
        <w:t xml:space="preserve"> </w:t>
      </w:r>
      <w:r w:rsidRPr="001F0ED9">
        <w:rPr>
          <w:rFonts w:asciiTheme="minorHAnsi" w:hAnsiTheme="minorHAnsi" w:cstheme="minorHAnsi"/>
          <w:sz w:val="22"/>
        </w:rPr>
        <w:t>The members of the Examining Board will be appointed by the Dean of the School of Graduate Studies on the recommendation of the Dean of the School of Pharmacy who will have consulted with the supervisor.</w:t>
      </w:r>
      <w:r w:rsidR="00E61784">
        <w:rPr>
          <w:rFonts w:asciiTheme="minorHAnsi" w:hAnsiTheme="minorHAnsi" w:cstheme="minorHAnsi"/>
          <w:sz w:val="22"/>
        </w:rPr>
        <w:t xml:space="preserve"> </w:t>
      </w:r>
      <w:r w:rsidRPr="001F0ED9">
        <w:rPr>
          <w:rFonts w:asciiTheme="minorHAnsi" w:hAnsiTheme="minorHAnsi" w:cstheme="minorHAnsi"/>
          <w:sz w:val="22"/>
        </w:rPr>
        <w:t xml:space="preserve">Normally, the four members of the Examining Board will be the candidate’s supervisor (who serves as a non-voting member), two examiners from within </w:t>
      </w:r>
      <w:proofErr w:type="gramStart"/>
      <w:r w:rsidRPr="001F0ED9">
        <w:rPr>
          <w:rFonts w:asciiTheme="minorHAnsi" w:hAnsiTheme="minorHAnsi" w:cstheme="minorHAnsi"/>
          <w:sz w:val="22"/>
        </w:rPr>
        <w:t>University</w:t>
      </w:r>
      <w:proofErr w:type="gramEnd"/>
      <w:r w:rsidRPr="001F0ED9">
        <w:rPr>
          <w:rFonts w:asciiTheme="minorHAnsi" w:hAnsiTheme="minorHAnsi" w:cstheme="minorHAnsi"/>
          <w:sz w:val="22"/>
        </w:rPr>
        <w:t xml:space="preserve"> (internal examiners) and one from outside the University (external examiner).</w:t>
      </w:r>
      <w:r w:rsidR="00E61784">
        <w:rPr>
          <w:rFonts w:asciiTheme="minorHAnsi" w:hAnsiTheme="minorHAnsi" w:cstheme="minorHAnsi"/>
          <w:sz w:val="22"/>
        </w:rPr>
        <w:t xml:space="preserve"> </w:t>
      </w:r>
      <w:r w:rsidRPr="001F0ED9">
        <w:rPr>
          <w:rFonts w:asciiTheme="minorHAnsi" w:hAnsiTheme="minorHAnsi" w:cstheme="minorHAnsi"/>
          <w:sz w:val="22"/>
        </w:rPr>
        <w:t>However, a second external examiner may be substituted for one of the internal examiners with the permission of the Dean of the School of Graduate Studies.</w:t>
      </w:r>
      <w:r w:rsidR="00E61784">
        <w:rPr>
          <w:rFonts w:asciiTheme="minorHAnsi" w:hAnsiTheme="minorHAnsi" w:cstheme="minorHAnsi"/>
          <w:sz w:val="22"/>
        </w:rPr>
        <w:t xml:space="preserve"> </w:t>
      </w:r>
      <w:r w:rsidRPr="001F0ED9">
        <w:rPr>
          <w:rFonts w:asciiTheme="minorHAnsi" w:hAnsiTheme="minorHAnsi" w:cstheme="minorHAnsi"/>
          <w:sz w:val="22"/>
        </w:rPr>
        <w:t xml:space="preserve">Members of the supervisory committee other than the supervisor are </w:t>
      </w:r>
      <w:r w:rsidRPr="001F0ED9">
        <w:rPr>
          <w:rFonts w:asciiTheme="minorHAnsi" w:hAnsiTheme="minorHAnsi" w:cstheme="minorHAnsi"/>
          <w:sz w:val="22"/>
        </w:rPr>
        <w:lastRenderedPageBreak/>
        <w:t>ineligible for appointment to the Board.</w:t>
      </w:r>
      <w:r w:rsidR="00E61784">
        <w:rPr>
          <w:rFonts w:asciiTheme="minorHAnsi" w:hAnsiTheme="minorHAnsi" w:cstheme="minorHAnsi"/>
          <w:sz w:val="22"/>
        </w:rPr>
        <w:t xml:space="preserve"> </w:t>
      </w:r>
      <w:r w:rsidRPr="001F0ED9">
        <w:rPr>
          <w:rFonts w:asciiTheme="minorHAnsi" w:hAnsiTheme="minorHAnsi" w:cstheme="minorHAnsi"/>
          <w:sz w:val="22"/>
        </w:rPr>
        <w:t xml:space="preserve">Upon the receipt of the thesis and a completed </w:t>
      </w:r>
      <w:r w:rsidR="00EA555E">
        <w:rPr>
          <w:rFonts w:asciiTheme="minorHAnsi" w:hAnsiTheme="minorHAnsi" w:cstheme="minorHAnsi"/>
          <w:sz w:val="22"/>
        </w:rPr>
        <w:t>“</w:t>
      </w:r>
      <w:r w:rsidRPr="001F0ED9">
        <w:rPr>
          <w:rFonts w:asciiTheme="minorHAnsi" w:hAnsiTheme="minorHAnsi" w:cstheme="minorHAnsi"/>
          <w:sz w:val="22"/>
        </w:rPr>
        <w:t>Appointment of Examiners: Doctoral Degrees</w:t>
      </w:r>
      <w:r w:rsidR="00EA555E">
        <w:rPr>
          <w:rFonts w:asciiTheme="minorHAnsi" w:hAnsiTheme="minorHAnsi" w:cstheme="minorHAnsi"/>
          <w:sz w:val="22"/>
        </w:rPr>
        <w:t>”</w:t>
      </w:r>
      <w:r w:rsidRPr="001F0ED9">
        <w:rPr>
          <w:rFonts w:asciiTheme="minorHAnsi" w:hAnsiTheme="minorHAnsi" w:cstheme="minorHAnsi"/>
          <w:sz w:val="22"/>
        </w:rPr>
        <w:t xml:space="preserve"> form from the Dean of the School of Pharmacy or his/her delegate, the thesis will be normally approved and the Examiners will be appointed by the Dean of Graduate Studies.</w:t>
      </w:r>
      <w:r w:rsidR="00E61784">
        <w:rPr>
          <w:rFonts w:asciiTheme="minorHAnsi" w:hAnsiTheme="minorHAnsi" w:cstheme="minorHAnsi"/>
          <w:sz w:val="22"/>
        </w:rPr>
        <w:t xml:space="preserve"> </w:t>
      </w:r>
      <w:r w:rsidRPr="001F0ED9">
        <w:rPr>
          <w:rFonts w:asciiTheme="minorHAnsi" w:hAnsiTheme="minorHAnsi" w:cstheme="minorHAnsi"/>
          <w:sz w:val="22"/>
        </w:rPr>
        <w:t xml:space="preserve">Examiners must not have been involved in the research or in the preparation of the thesis. </w:t>
      </w:r>
    </w:p>
    <w:p w14:paraId="50CA14E7"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119F9D3D" w14:textId="59F6C695" w:rsidR="006E5D8F" w:rsidRPr="003359D7" w:rsidRDefault="00D30958" w:rsidP="003359D7">
      <w:pPr>
        <w:pStyle w:val="Heading6"/>
        <w:spacing w:line="240" w:lineRule="auto"/>
        <w:ind w:left="-5" w:right="15"/>
        <w:rPr>
          <w:rFonts w:asciiTheme="minorHAnsi" w:hAnsiTheme="minorHAnsi" w:cstheme="minorHAnsi"/>
          <w:b w:val="0"/>
          <w:bCs/>
          <w:i/>
          <w:iCs/>
          <w:szCs w:val="24"/>
          <w:u w:val="single"/>
        </w:rPr>
      </w:pPr>
      <w:r w:rsidRPr="003359D7">
        <w:rPr>
          <w:rFonts w:asciiTheme="minorHAnsi" w:hAnsiTheme="minorHAnsi" w:cstheme="minorHAnsi"/>
          <w:b w:val="0"/>
          <w:bCs/>
          <w:i/>
          <w:iCs/>
          <w:szCs w:val="24"/>
          <w:u w:val="single"/>
        </w:rPr>
        <w:t xml:space="preserve">Examination of the Written Thesis </w:t>
      </w:r>
      <w:r w:rsidRPr="001F0ED9">
        <w:rPr>
          <w:rFonts w:asciiTheme="minorHAnsi" w:hAnsiTheme="minorHAnsi" w:cstheme="minorHAnsi"/>
          <w:i/>
          <w:sz w:val="22"/>
        </w:rPr>
        <w:t xml:space="preserve"> </w:t>
      </w:r>
    </w:p>
    <w:p w14:paraId="335FEEB9" w14:textId="739455CA"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The voting members of the Board shall submit written reports on the thesis containing an assessment of the quality of the written work and a recommendation as to whether the candidate should be permitted to proceed to an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of the work. An examiner may recommend that</w:t>
      </w:r>
      <w:r w:rsidR="00E90D1B">
        <w:rPr>
          <w:rFonts w:asciiTheme="minorHAnsi" w:hAnsiTheme="minorHAnsi" w:cstheme="minorHAnsi"/>
          <w:sz w:val="22"/>
        </w:rPr>
        <w:t xml:space="preserve"> the</w:t>
      </w:r>
      <w:r w:rsidRPr="001F0ED9">
        <w:rPr>
          <w:rFonts w:asciiTheme="minorHAnsi" w:hAnsiTheme="minorHAnsi" w:cstheme="minorHAnsi"/>
          <w:sz w:val="22"/>
        </w:rPr>
        <w:t xml:space="preserve">: </w:t>
      </w:r>
    </w:p>
    <w:p w14:paraId="02560694"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947074D" w14:textId="7BD82ACE" w:rsidR="006E5D8F" w:rsidRPr="001F0ED9" w:rsidRDefault="00D30958" w:rsidP="000E5DF2">
      <w:pPr>
        <w:numPr>
          <w:ilvl w:val="0"/>
          <w:numId w:val="13"/>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thesis is acceptable and the candidate be allowed to proceed to the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e</w:t>
      </w:r>
      <w:r w:rsidRPr="001F0ED9">
        <w:rPr>
          <w:rFonts w:asciiTheme="minorHAnsi" w:hAnsiTheme="minorHAnsi" w:cstheme="minorHAnsi"/>
          <w:sz w:val="22"/>
        </w:rPr>
        <w:t xml:space="preserve">; </w:t>
      </w:r>
    </w:p>
    <w:p w14:paraId="74EFDCE7" w14:textId="3598821D" w:rsidR="006E5D8F" w:rsidRPr="001F0ED9" w:rsidRDefault="00D30958" w:rsidP="000E5DF2">
      <w:pPr>
        <w:numPr>
          <w:ilvl w:val="0"/>
          <w:numId w:val="13"/>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thesis is unacceptable and requires re-examination; the candidate is not allowed to proceed to the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 xml:space="preserve">at this time; </w:t>
      </w:r>
    </w:p>
    <w:p w14:paraId="30FA8926" w14:textId="5B7CA014" w:rsidR="006E5D8F" w:rsidRPr="001F0ED9" w:rsidRDefault="00D30958" w:rsidP="000E5DF2">
      <w:pPr>
        <w:numPr>
          <w:ilvl w:val="0"/>
          <w:numId w:val="13"/>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candidate should be failed. </w:t>
      </w:r>
    </w:p>
    <w:p w14:paraId="166C3AC4" w14:textId="77777777" w:rsidR="006E5D8F" w:rsidRPr="001F0ED9" w:rsidRDefault="00D30958" w:rsidP="008305ED">
      <w:pPr>
        <w:spacing w:after="0" w:line="240" w:lineRule="auto"/>
        <w:ind w:left="45"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1174160" w14:textId="1F42030D"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No candidate will be permitted to re-submit a thesis more than once. If the Dean of Graduate Studies decides that the thesis must be revised before it can be orally defended, the resubmitted thesis will be examined by a Board which may differ in whole or in part from the original. In the case of re-submitted thesis an examiner may recommend only that</w:t>
      </w:r>
      <w:r w:rsidR="00FF4536">
        <w:rPr>
          <w:rFonts w:asciiTheme="minorHAnsi" w:hAnsiTheme="minorHAnsi" w:cstheme="minorHAnsi"/>
          <w:sz w:val="22"/>
        </w:rPr>
        <w:t xml:space="preserve"> the</w:t>
      </w:r>
      <w:r w:rsidRPr="001F0ED9">
        <w:rPr>
          <w:rFonts w:asciiTheme="minorHAnsi" w:hAnsiTheme="minorHAnsi" w:cstheme="minorHAnsi"/>
          <w:sz w:val="22"/>
        </w:rPr>
        <w:t xml:space="preserve">: </w:t>
      </w:r>
    </w:p>
    <w:p w14:paraId="0433E75B" w14:textId="77777777" w:rsidR="006E5D8F" w:rsidRPr="001F0ED9" w:rsidRDefault="00D30958" w:rsidP="008305ED">
      <w:pPr>
        <w:spacing w:after="0" w:line="240" w:lineRule="auto"/>
        <w:ind w:left="45"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63F3B9D" w14:textId="3F45E0BA" w:rsidR="006E5D8F" w:rsidRPr="001F0ED9" w:rsidRDefault="00D30958" w:rsidP="002C7CCA">
      <w:pPr>
        <w:numPr>
          <w:ilvl w:val="0"/>
          <w:numId w:val="14"/>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candidate be allowed to proceed to the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e</w:t>
      </w:r>
      <w:r w:rsidRPr="001F0ED9">
        <w:rPr>
          <w:rFonts w:asciiTheme="minorHAnsi" w:hAnsiTheme="minorHAnsi" w:cstheme="minorHAnsi"/>
          <w:sz w:val="22"/>
        </w:rPr>
        <w:t xml:space="preserve">; </w:t>
      </w:r>
    </w:p>
    <w:p w14:paraId="52DEE0A8" w14:textId="77777777" w:rsidR="006E5D8F" w:rsidRPr="001F0ED9" w:rsidRDefault="00D30958" w:rsidP="002C7CCA">
      <w:pPr>
        <w:numPr>
          <w:ilvl w:val="0"/>
          <w:numId w:val="14"/>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candidate should be failed. </w:t>
      </w:r>
    </w:p>
    <w:p w14:paraId="4B5D7914"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BFACB42" w14:textId="6385F760" w:rsidR="006E5D8F" w:rsidRPr="006C291A" w:rsidRDefault="00D30958" w:rsidP="008305ED">
      <w:pPr>
        <w:pStyle w:val="Heading6"/>
        <w:spacing w:line="240" w:lineRule="auto"/>
        <w:ind w:left="-5" w:right="15"/>
        <w:rPr>
          <w:rFonts w:asciiTheme="minorHAnsi" w:hAnsiTheme="minorHAnsi" w:cstheme="minorHAnsi"/>
          <w:b w:val="0"/>
          <w:bCs/>
          <w:i/>
          <w:iCs/>
          <w:szCs w:val="24"/>
          <w:u w:val="single"/>
        </w:rPr>
      </w:pPr>
      <w:r w:rsidRPr="006C291A">
        <w:rPr>
          <w:rFonts w:asciiTheme="minorHAnsi" w:hAnsiTheme="minorHAnsi" w:cstheme="minorHAnsi"/>
          <w:b w:val="0"/>
          <w:bCs/>
          <w:i/>
          <w:iCs/>
          <w:szCs w:val="24"/>
          <w:u w:val="single"/>
        </w:rPr>
        <w:t xml:space="preserve">Oral </w:t>
      </w:r>
      <w:r w:rsidR="00310825" w:rsidRPr="006C291A">
        <w:rPr>
          <w:rFonts w:asciiTheme="minorHAnsi" w:hAnsiTheme="minorHAnsi" w:cstheme="minorHAnsi"/>
          <w:b w:val="0"/>
          <w:bCs/>
          <w:i/>
          <w:iCs/>
          <w:szCs w:val="24"/>
          <w:u w:val="single"/>
        </w:rPr>
        <w:t xml:space="preserve">Defense </w:t>
      </w:r>
    </w:p>
    <w:p w14:paraId="269B973B" w14:textId="0AF99A3F" w:rsidR="006E5D8F" w:rsidRPr="001F0ED9" w:rsidRDefault="00D30958" w:rsidP="006C291A">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After receiving the reports from all three voting members of the Board the Dean of Graduate Studies will consider the recommendation and determine whether an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of the thesis should be scheduled.</w:t>
      </w:r>
      <w:r w:rsidR="00E61784">
        <w:rPr>
          <w:rFonts w:asciiTheme="minorHAnsi" w:hAnsiTheme="minorHAnsi" w:cstheme="minorHAnsi"/>
          <w:sz w:val="22"/>
        </w:rPr>
        <w:t xml:space="preserve"> </w:t>
      </w:r>
      <w:r w:rsidRPr="001F0ED9">
        <w:rPr>
          <w:rFonts w:asciiTheme="minorHAnsi" w:hAnsiTheme="minorHAnsi" w:cstheme="minorHAnsi"/>
          <w:sz w:val="22"/>
        </w:rPr>
        <w:t xml:space="preserve">The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 xml:space="preserve">will take place if a majority of examiners recommend, in their written evaluations of the thesis, that an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 xml:space="preserve">should be scheduled. In case of acceptance of the PhD thesis for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 xml:space="preserve">by the Dean of Graduate Studies, the examination will normally be scheduled to take place approximately three weeks after the receipt of the examiners’ reports depending upon the availability of the candidate and the members of the </w:t>
      </w:r>
      <w:r w:rsidR="00977CDF" w:rsidRPr="001F0ED9">
        <w:rPr>
          <w:rFonts w:asciiTheme="minorHAnsi" w:hAnsiTheme="minorHAnsi" w:cstheme="minorHAnsi"/>
          <w:sz w:val="22"/>
        </w:rPr>
        <w:t>examin</w:t>
      </w:r>
      <w:r w:rsidR="00977CDF">
        <w:rPr>
          <w:rFonts w:asciiTheme="minorHAnsi" w:hAnsiTheme="minorHAnsi" w:cstheme="minorHAnsi"/>
          <w:sz w:val="22"/>
        </w:rPr>
        <w:t>ation</w:t>
      </w:r>
      <w:r w:rsidR="00977CDF" w:rsidRPr="001F0ED9">
        <w:rPr>
          <w:rFonts w:asciiTheme="minorHAnsi" w:hAnsiTheme="minorHAnsi" w:cstheme="minorHAnsi"/>
          <w:sz w:val="22"/>
        </w:rPr>
        <w:t xml:space="preserve"> </w:t>
      </w:r>
      <w:r w:rsidRPr="001F0ED9">
        <w:rPr>
          <w:rFonts w:asciiTheme="minorHAnsi" w:hAnsiTheme="minorHAnsi" w:cstheme="minorHAnsi"/>
          <w:sz w:val="22"/>
        </w:rPr>
        <w:t>board.</w:t>
      </w:r>
      <w:r w:rsidR="00E61784">
        <w:rPr>
          <w:rFonts w:asciiTheme="minorHAnsi" w:hAnsiTheme="minorHAnsi" w:cstheme="minorHAnsi"/>
          <w:sz w:val="22"/>
        </w:rPr>
        <w:t xml:space="preserve"> </w:t>
      </w:r>
      <w:r w:rsidRPr="001F0ED9">
        <w:rPr>
          <w:rFonts w:asciiTheme="minorHAnsi" w:hAnsiTheme="minorHAnsi" w:cstheme="minorHAnsi"/>
          <w:sz w:val="22"/>
        </w:rPr>
        <w:t xml:space="preserve">All members of the </w:t>
      </w:r>
      <w:r w:rsidR="00D81469">
        <w:rPr>
          <w:rFonts w:asciiTheme="minorHAnsi" w:hAnsiTheme="minorHAnsi" w:cstheme="minorHAnsi"/>
          <w:sz w:val="22"/>
        </w:rPr>
        <w:t>e</w:t>
      </w:r>
      <w:r w:rsidR="00D81469" w:rsidRPr="001F0ED9">
        <w:rPr>
          <w:rFonts w:asciiTheme="minorHAnsi" w:hAnsiTheme="minorHAnsi" w:cstheme="minorHAnsi"/>
          <w:sz w:val="22"/>
        </w:rPr>
        <w:t xml:space="preserve">xamination </w:t>
      </w:r>
      <w:r w:rsidR="00D81469">
        <w:rPr>
          <w:rFonts w:asciiTheme="minorHAnsi" w:hAnsiTheme="minorHAnsi" w:cstheme="minorHAnsi"/>
          <w:sz w:val="22"/>
        </w:rPr>
        <w:t>b</w:t>
      </w:r>
      <w:r w:rsidR="00D81469" w:rsidRPr="001F0ED9">
        <w:rPr>
          <w:rFonts w:asciiTheme="minorHAnsi" w:hAnsiTheme="minorHAnsi" w:cstheme="minorHAnsi"/>
          <w:sz w:val="22"/>
        </w:rPr>
        <w:t xml:space="preserve">oard </w:t>
      </w:r>
      <w:r w:rsidRPr="001F0ED9">
        <w:rPr>
          <w:rFonts w:asciiTheme="minorHAnsi" w:hAnsiTheme="minorHAnsi" w:cstheme="minorHAnsi"/>
          <w:sz w:val="22"/>
        </w:rPr>
        <w:t xml:space="preserve">are required to participate in the PhD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e</w:t>
      </w:r>
      <w:r w:rsidRPr="001F0ED9">
        <w:rPr>
          <w:rFonts w:asciiTheme="minorHAnsi" w:hAnsiTheme="minorHAnsi" w:cstheme="minorHAnsi"/>
          <w:sz w:val="22"/>
        </w:rPr>
        <w:t>.</w:t>
      </w:r>
      <w:r w:rsidR="00E61784">
        <w:rPr>
          <w:rFonts w:asciiTheme="minorHAnsi" w:hAnsiTheme="minorHAnsi" w:cstheme="minorHAnsi"/>
          <w:sz w:val="22"/>
        </w:rPr>
        <w:t xml:space="preserve"> </w:t>
      </w:r>
      <w:r w:rsidRPr="001F0ED9">
        <w:rPr>
          <w:rFonts w:asciiTheme="minorHAnsi" w:hAnsiTheme="minorHAnsi" w:cstheme="minorHAnsi"/>
          <w:sz w:val="22"/>
        </w:rPr>
        <w:t xml:space="preserve"> In the event that a member of the Board is unable to attend an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e</w:t>
      </w:r>
      <w:r w:rsidRPr="001F0ED9">
        <w:rPr>
          <w:rFonts w:asciiTheme="minorHAnsi" w:hAnsiTheme="minorHAnsi" w:cstheme="minorHAnsi"/>
          <w:sz w:val="22"/>
        </w:rPr>
        <w:t xml:space="preserve">, the student must be consulted on whether or not to proceed with the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by other means, i.e., teleconferencing, examiner’s delegate, etc.</w:t>
      </w:r>
      <w:r w:rsidR="00E61784">
        <w:rPr>
          <w:rFonts w:asciiTheme="minorHAnsi" w:hAnsiTheme="minorHAnsi" w:cstheme="minorHAnsi"/>
          <w:sz w:val="22"/>
        </w:rPr>
        <w:t xml:space="preserve"> </w:t>
      </w:r>
      <w:r w:rsidRPr="001F0ED9">
        <w:rPr>
          <w:rFonts w:asciiTheme="minorHAnsi" w:hAnsiTheme="minorHAnsi" w:cstheme="minorHAnsi"/>
          <w:sz w:val="22"/>
        </w:rPr>
        <w:t xml:space="preserve"> The written examiners’ reports are discussed </w:t>
      </w:r>
      <w:r w:rsidRPr="001F0ED9">
        <w:rPr>
          <w:rFonts w:asciiTheme="minorHAnsi" w:hAnsiTheme="minorHAnsi" w:cstheme="minorHAnsi"/>
          <w:i/>
          <w:sz w:val="22"/>
        </w:rPr>
        <w:t xml:space="preserve">in camera </w:t>
      </w:r>
      <w:r w:rsidRPr="001F0ED9">
        <w:rPr>
          <w:rFonts w:asciiTheme="minorHAnsi" w:hAnsiTheme="minorHAnsi" w:cstheme="minorHAnsi"/>
          <w:sz w:val="22"/>
        </w:rPr>
        <w:t xml:space="preserve">at a pre-oral meeting. The examination is public and is chaired by the Dean of Graduate Studies or his/her delegate. </w:t>
      </w:r>
    </w:p>
    <w:p w14:paraId="3A05726C"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7E0377B7" w14:textId="081B1713"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In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 xml:space="preserve">e </w:t>
      </w:r>
      <w:r w:rsidRPr="001F0ED9">
        <w:rPr>
          <w:rFonts w:asciiTheme="minorHAnsi" w:hAnsiTheme="minorHAnsi" w:cstheme="minorHAnsi"/>
          <w:sz w:val="22"/>
        </w:rPr>
        <w:t xml:space="preserve">the candidate is expected to give a </w:t>
      </w:r>
      <w:proofErr w:type="gramStart"/>
      <w:r w:rsidRPr="001F0ED9">
        <w:rPr>
          <w:rFonts w:asciiTheme="minorHAnsi" w:hAnsiTheme="minorHAnsi" w:cstheme="minorHAnsi"/>
          <w:sz w:val="22"/>
        </w:rPr>
        <w:t>15-30 minute</w:t>
      </w:r>
      <w:proofErr w:type="gramEnd"/>
      <w:r w:rsidRPr="001F0ED9">
        <w:rPr>
          <w:rFonts w:asciiTheme="minorHAnsi" w:hAnsiTheme="minorHAnsi" w:cstheme="minorHAnsi"/>
          <w:sz w:val="22"/>
        </w:rPr>
        <w:t xml:space="preserve"> presentation outlining the major contributions made by the thesis.</w:t>
      </w:r>
      <w:r w:rsidR="00E61784">
        <w:rPr>
          <w:rFonts w:asciiTheme="minorHAnsi" w:hAnsiTheme="minorHAnsi" w:cstheme="minorHAnsi"/>
          <w:sz w:val="22"/>
        </w:rPr>
        <w:t xml:space="preserve"> </w:t>
      </w:r>
      <w:r w:rsidRPr="001F0ED9">
        <w:rPr>
          <w:rFonts w:asciiTheme="minorHAnsi" w:hAnsiTheme="minorHAnsi" w:cstheme="minorHAnsi"/>
          <w:sz w:val="22"/>
        </w:rPr>
        <w:t>Following the presentation by the candidate, the Chair will initiate at least two rounds of questions from the members of the Examination Board.</w:t>
      </w:r>
      <w:r w:rsidR="00E61784">
        <w:rPr>
          <w:rFonts w:asciiTheme="minorHAnsi" w:hAnsiTheme="minorHAnsi" w:cstheme="minorHAnsi"/>
          <w:sz w:val="22"/>
        </w:rPr>
        <w:t xml:space="preserve"> </w:t>
      </w:r>
      <w:r w:rsidRPr="001F0ED9">
        <w:rPr>
          <w:rFonts w:asciiTheme="minorHAnsi" w:hAnsiTheme="minorHAnsi" w:cstheme="minorHAnsi"/>
          <w:sz w:val="22"/>
        </w:rPr>
        <w:t>The candidates should be prepared to defend the content of the thesis in its entirety.</w:t>
      </w:r>
      <w:r w:rsidR="00E61784">
        <w:rPr>
          <w:rFonts w:asciiTheme="minorHAnsi" w:hAnsiTheme="minorHAnsi" w:cstheme="minorHAnsi"/>
          <w:sz w:val="22"/>
        </w:rPr>
        <w:t xml:space="preserve"> </w:t>
      </w:r>
      <w:r w:rsidRPr="001F0ED9">
        <w:rPr>
          <w:rFonts w:asciiTheme="minorHAnsi" w:hAnsiTheme="minorHAnsi" w:cstheme="minorHAnsi"/>
          <w:sz w:val="22"/>
        </w:rPr>
        <w:t xml:space="preserve">At the conclusion of the public portion of the examination, the members of the Examination Board hold an </w:t>
      </w:r>
      <w:proofErr w:type="gramStart"/>
      <w:r w:rsidRPr="001F0ED9">
        <w:rPr>
          <w:rFonts w:asciiTheme="minorHAnsi" w:hAnsiTheme="minorHAnsi" w:cstheme="minorHAnsi"/>
          <w:i/>
          <w:sz w:val="22"/>
        </w:rPr>
        <w:t>in camera</w:t>
      </w:r>
      <w:proofErr w:type="gramEnd"/>
      <w:r w:rsidRPr="001F0ED9">
        <w:rPr>
          <w:rFonts w:asciiTheme="minorHAnsi" w:hAnsiTheme="minorHAnsi" w:cstheme="minorHAnsi"/>
          <w:sz w:val="22"/>
        </w:rPr>
        <w:t xml:space="preserve"> meeting to evaluate the performance of the candidate during the oral </w:t>
      </w:r>
      <w:r w:rsidR="00310825" w:rsidRPr="001F0ED9">
        <w:rPr>
          <w:rFonts w:asciiTheme="minorHAnsi" w:hAnsiTheme="minorHAnsi" w:cstheme="minorHAnsi"/>
          <w:sz w:val="22"/>
        </w:rPr>
        <w:t>defen</w:t>
      </w:r>
      <w:r w:rsidR="00310825">
        <w:rPr>
          <w:rFonts w:asciiTheme="minorHAnsi" w:hAnsiTheme="minorHAnsi" w:cstheme="minorHAnsi"/>
          <w:sz w:val="22"/>
        </w:rPr>
        <w:t>s</w:t>
      </w:r>
      <w:r w:rsidR="00310825" w:rsidRPr="001F0ED9">
        <w:rPr>
          <w:rFonts w:asciiTheme="minorHAnsi" w:hAnsiTheme="minorHAnsi" w:cstheme="minorHAnsi"/>
          <w:sz w:val="22"/>
        </w:rPr>
        <w:t>e</w:t>
      </w:r>
      <w:r w:rsidRPr="001F0ED9">
        <w:rPr>
          <w:rFonts w:asciiTheme="minorHAnsi" w:hAnsiTheme="minorHAnsi" w:cstheme="minorHAnsi"/>
          <w:sz w:val="22"/>
        </w:rPr>
        <w:t xml:space="preserve">. The three voting members of the Board recommend to the Dean one of the following: </w:t>
      </w:r>
    </w:p>
    <w:p w14:paraId="6614A98E"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41B99303" w14:textId="77777777" w:rsidR="006E5D8F" w:rsidRPr="001F0ED9" w:rsidRDefault="00D30958" w:rsidP="0066198A">
      <w:pPr>
        <w:numPr>
          <w:ilvl w:val="0"/>
          <w:numId w:val="15"/>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the candidate has passed (modifications or corrections to the thesis may be required); </w:t>
      </w:r>
    </w:p>
    <w:p w14:paraId="0749BF8C" w14:textId="77777777" w:rsidR="006E5D8F" w:rsidRPr="001F0ED9" w:rsidRDefault="00D30958" w:rsidP="0066198A">
      <w:pPr>
        <w:numPr>
          <w:ilvl w:val="0"/>
          <w:numId w:val="15"/>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the candidate has failed but should be permitted a re-examination; </w:t>
      </w:r>
    </w:p>
    <w:p w14:paraId="33460F17" w14:textId="77777777" w:rsidR="006E5D8F" w:rsidRPr="001F0ED9" w:rsidRDefault="00D30958" w:rsidP="0066198A">
      <w:pPr>
        <w:numPr>
          <w:ilvl w:val="0"/>
          <w:numId w:val="15"/>
        </w:numPr>
        <w:spacing w:line="240" w:lineRule="auto"/>
        <w:ind w:left="709" w:right="15" w:hanging="425"/>
        <w:jc w:val="left"/>
        <w:rPr>
          <w:rFonts w:asciiTheme="minorHAnsi" w:hAnsiTheme="minorHAnsi" w:cstheme="minorHAnsi"/>
          <w:sz w:val="22"/>
        </w:rPr>
      </w:pPr>
      <w:r w:rsidRPr="001F0ED9">
        <w:rPr>
          <w:rFonts w:asciiTheme="minorHAnsi" w:hAnsiTheme="minorHAnsi" w:cstheme="minorHAnsi"/>
          <w:sz w:val="22"/>
        </w:rPr>
        <w:t xml:space="preserve">the candidate has failed and should not be re-examined. </w:t>
      </w:r>
    </w:p>
    <w:p w14:paraId="21BDA5CC"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038E3EAE" w14:textId="756FC63E"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lastRenderedPageBreak/>
        <w:t>If the members of the Board are unanimous in their recommendation, the Chair of the Examination may accept this recommendation and inform the candidate of the decision. In any other case, however, the delivering of any final decision shall be deferred pending further consultation with the Dean of Graduate Studies.</w:t>
      </w:r>
      <w:r w:rsidR="00E61784">
        <w:rPr>
          <w:rFonts w:asciiTheme="minorHAnsi" w:hAnsiTheme="minorHAnsi" w:cstheme="minorHAnsi"/>
          <w:sz w:val="22"/>
        </w:rPr>
        <w:t xml:space="preserve"> </w:t>
      </w:r>
      <w:r w:rsidRPr="001F0ED9">
        <w:rPr>
          <w:rFonts w:asciiTheme="minorHAnsi" w:hAnsiTheme="minorHAnsi" w:cstheme="minorHAnsi"/>
          <w:sz w:val="22"/>
        </w:rPr>
        <w:t xml:space="preserve">On the basis of the recommendation, the Dean makes a final determination of the outcome of the examination and informs the candidate by letter. </w:t>
      </w:r>
    </w:p>
    <w:p w14:paraId="03075C33"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i/>
          <w:sz w:val="22"/>
        </w:rPr>
        <w:t xml:space="preserve"> </w:t>
      </w:r>
    </w:p>
    <w:p w14:paraId="4C68D2D7" w14:textId="6803A26A"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Further actions on the above recommendations are as following: in case (a) the required revisions and corrections to the thesis as outlined in the examiners’ reports must be performed to the satisfaction of the supervisory committee for approval by the Dean of the School of Pharmacy and the Dean of Graduate Studies.</w:t>
      </w:r>
      <w:r w:rsidR="00E61784">
        <w:rPr>
          <w:rFonts w:asciiTheme="minorHAnsi" w:hAnsiTheme="minorHAnsi" w:cstheme="minorHAnsi"/>
          <w:sz w:val="22"/>
        </w:rPr>
        <w:t xml:space="preserve"> </w:t>
      </w:r>
      <w:r w:rsidRPr="001F0ED9">
        <w:rPr>
          <w:rFonts w:asciiTheme="minorHAnsi" w:hAnsiTheme="minorHAnsi" w:cstheme="minorHAnsi"/>
          <w:sz w:val="22"/>
        </w:rPr>
        <w:t xml:space="preserve"> Two copies of the thesis accompanied by a completed “</w:t>
      </w:r>
      <w:hyperlink r:id="rId30" w:history="1">
        <w:r w:rsidRPr="00E90D1B">
          <w:rPr>
            <w:rStyle w:val="Hyperlink"/>
            <w:rFonts w:asciiTheme="minorHAnsi" w:hAnsiTheme="minorHAnsi" w:cstheme="minorHAnsi"/>
            <w:sz w:val="22"/>
          </w:rPr>
          <w:t>Recommendation for the Award of a Graduate Degree</w:t>
        </w:r>
      </w:hyperlink>
      <w:r w:rsidRPr="001F0ED9">
        <w:rPr>
          <w:rFonts w:asciiTheme="minorHAnsi" w:hAnsiTheme="minorHAnsi" w:cstheme="minorHAnsi"/>
          <w:sz w:val="22"/>
        </w:rPr>
        <w:t xml:space="preserve">” form should be submitted to the Dean of Graduate Studies by the Associate Dean of Graduate Studies </w:t>
      </w:r>
      <w:r w:rsidR="00310825">
        <w:rPr>
          <w:rFonts w:asciiTheme="minorHAnsi" w:hAnsiTheme="minorHAnsi" w:cstheme="minorHAnsi"/>
          <w:sz w:val="22"/>
        </w:rPr>
        <w:t xml:space="preserve">&amp; </w:t>
      </w:r>
      <w:r w:rsidRPr="001F0ED9">
        <w:rPr>
          <w:rFonts w:asciiTheme="minorHAnsi" w:hAnsiTheme="minorHAnsi" w:cstheme="minorHAnsi"/>
          <w:sz w:val="22"/>
        </w:rPr>
        <w:t>Research of the School of Pharmacy.</w:t>
      </w:r>
      <w:r w:rsidR="00E61784">
        <w:rPr>
          <w:rFonts w:asciiTheme="minorHAnsi" w:hAnsiTheme="minorHAnsi" w:cstheme="minorHAnsi"/>
          <w:sz w:val="22"/>
        </w:rPr>
        <w:t xml:space="preserve"> </w:t>
      </w:r>
      <w:r w:rsidRPr="001F0ED9">
        <w:rPr>
          <w:rFonts w:asciiTheme="minorHAnsi" w:hAnsiTheme="minorHAnsi" w:cstheme="minorHAnsi"/>
          <w:sz w:val="22"/>
        </w:rPr>
        <w:t xml:space="preserve">After acceptance of this recommendation by the Dean of Graduate Studies, the candidate’s name will be presented to the Academic Council of the School of Graduate Studies for approval, then to the Registrar for transmission to the Senate.  </w:t>
      </w:r>
    </w:p>
    <w:p w14:paraId="6C6D526E"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9002C04" w14:textId="355C0740"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In case (b) the Examination Board may attach a list of any further requirements which are deemed to be appropriate.</w:t>
      </w:r>
      <w:r w:rsidR="00E61784">
        <w:rPr>
          <w:rFonts w:asciiTheme="minorHAnsi" w:hAnsiTheme="minorHAnsi" w:cstheme="minorHAnsi"/>
          <w:sz w:val="22"/>
        </w:rPr>
        <w:t xml:space="preserve"> </w:t>
      </w:r>
      <w:r w:rsidRPr="001F0ED9">
        <w:rPr>
          <w:rFonts w:asciiTheme="minorHAnsi" w:hAnsiTheme="minorHAnsi" w:cstheme="minorHAnsi"/>
          <w:sz w:val="22"/>
        </w:rPr>
        <w:t>The oral examination will be arranged by the School of Graduate Studies, normally within twelve months. In this case only one oral re</w:t>
      </w:r>
      <w:r w:rsidR="00E90D1B">
        <w:rPr>
          <w:rFonts w:asciiTheme="minorHAnsi" w:hAnsiTheme="minorHAnsi" w:cstheme="minorHAnsi"/>
          <w:sz w:val="22"/>
        </w:rPr>
        <w:t>-</w:t>
      </w:r>
      <w:r w:rsidRPr="001F0ED9">
        <w:rPr>
          <w:rFonts w:asciiTheme="minorHAnsi" w:hAnsiTheme="minorHAnsi" w:cstheme="minorHAnsi"/>
          <w:sz w:val="22"/>
        </w:rPr>
        <w:t xml:space="preserve">examination is permitted.  </w:t>
      </w:r>
    </w:p>
    <w:p w14:paraId="56A55837"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203609C1" w14:textId="029A3941"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Failure of the oral defen</w:t>
      </w:r>
      <w:r w:rsidR="00310825">
        <w:rPr>
          <w:rFonts w:asciiTheme="minorHAnsi" w:hAnsiTheme="minorHAnsi" w:cstheme="minorHAnsi"/>
          <w:sz w:val="22"/>
        </w:rPr>
        <w:t>s</w:t>
      </w:r>
      <w:r w:rsidRPr="001F0ED9">
        <w:rPr>
          <w:rFonts w:asciiTheme="minorHAnsi" w:hAnsiTheme="minorHAnsi" w:cstheme="minorHAnsi"/>
          <w:sz w:val="22"/>
        </w:rPr>
        <w:t xml:space="preserve">e, as in case (c), will result in termination of the candidate’s program. </w:t>
      </w:r>
    </w:p>
    <w:p w14:paraId="0D5B819E" w14:textId="3757F5F2"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27309242" w14:textId="28F191A9" w:rsidR="006E5D8F" w:rsidRPr="007377D1" w:rsidRDefault="00D30958" w:rsidP="007377D1">
      <w:pPr>
        <w:pStyle w:val="Heading6"/>
        <w:spacing w:line="240" w:lineRule="auto"/>
        <w:ind w:left="-5" w:right="15"/>
        <w:rPr>
          <w:rFonts w:asciiTheme="minorHAnsi" w:hAnsiTheme="minorHAnsi" w:cstheme="minorHAnsi"/>
          <w:b w:val="0"/>
          <w:bCs/>
          <w:i/>
          <w:iCs/>
          <w:szCs w:val="24"/>
          <w:u w:val="single"/>
        </w:rPr>
      </w:pPr>
      <w:r w:rsidRPr="007377D1">
        <w:rPr>
          <w:rFonts w:asciiTheme="minorHAnsi" w:hAnsiTheme="minorHAnsi" w:cstheme="minorHAnsi"/>
          <w:b w:val="0"/>
          <w:bCs/>
          <w:i/>
          <w:iCs/>
          <w:szCs w:val="24"/>
          <w:u w:val="single"/>
        </w:rPr>
        <w:t xml:space="preserve">Time Limit for </w:t>
      </w:r>
      <w:r w:rsidR="00310825" w:rsidRPr="007377D1">
        <w:rPr>
          <w:rFonts w:asciiTheme="minorHAnsi" w:hAnsiTheme="minorHAnsi" w:cstheme="minorHAnsi"/>
          <w:b w:val="0"/>
          <w:bCs/>
          <w:i/>
          <w:iCs/>
          <w:szCs w:val="24"/>
          <w:u w:val="single"/>
        </w:rPr>
        <w:t xml:space="preserve">Thesis </w:t>
      </w:r>
      <w:r w:rsidRPr="007377D1">
        <w:rPr>
          <w:rFonts w:asciiTheme="minorHAnsi" w:hAnsiTheme="minorHAnsi" w:cstheme="minorHAnsi"/>
          <w:b w:val="0"/>
          <w:bCs/>
          <w:i/>
          <w:iCs/>
          <w:szCs w:val="24"/>
          <w:u w:val="single"/>
        </w:rPr>
        <w:t xml:space="preserve">Corrections and Revisions </w:t>
      </w:r>
    </w:p>
    <w:p w14:paraId="0D67A700" w14:textId="56286DA8"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The final version of a doctoral thesis found acceptable with or without corrections, shall be submitted to the School of Graduate Studies within six months of the date on which the thesis and the examiners’ reports are returned to the student.</w:t>
      </w:r>
      <w:r w:rsidR="00E61784">
        <w:rPr>
          <w:rFonts w:asciiTheme="minorHAnsi" w:hAnsiTheme="minorHAnsi" w:cstheme="minorHAnsi"/>
          <w:sz w:val="22"/>
        </w:rPr>
        <w:t xml:space="preserve"> </w:t>
      </w:r>
      <w:r w:rsidRPr="001F0ED9">
        <w:rPr>
          <w:rFonts w:asciiTheme="minorHAnsi" w:hAnsiTheme="minorHAnsi" w:cstheme="minorHAnsi"/>
          <w:sz w:val="22"/>
        </w:rPr>
        <w:t xml:space="preserve">If a corrected thesis is not submitted within six months, the candidate is considered to have withdrawn from the program. </w:t>
      </w:r>
    </w:p>
    <w:p w14:paraId="5C7E673E"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784B90DC" w14:textId="321E7983" w:rsidR="006E5D8F" w:rsidRPr="001F0ED9" w:rsidRDefault="00310825" w:rsidP="008305ED">
      <w:pPr>
        <w:spacing w:line="240" w:lineRule="auto"/>
        <w:ind w:left="-5" w:right="15"/>
        <w:jc w:val="left"/>
        <w:rPr>
          <w:rFonts w:asciiTheme="minorHAnsi" w:hAnsiTheme="minorHAnsi" w:cstheme="minorHAnsi"/>
          <w:sz w:val="22"/>
        </w:rPr>
      </w:pPr>
      <w:r>
        <w:rPr>
          <w:rFonts w:asciiTheme="minorHAnsi" w:hAnsiTheme="minorHAnsi" w:cstheme="minorHAnsi"/>
          <w:sz w:val="22"/>
        </w:rPr>
        <w:t>A d</w:t>
      </w:r>
      <w:r w:rsidR="00D30958" w:rsidRPr="001F0ED9">
        <w:rPr>
          <w:rFonts w:asciiTheme="minorHAnsi" w:hAnsiTheme="minorHAnsi" w:cstheme="minorHAnsi"/>
          <w:sz w:val="22"/>
        </w:rPr>
        <w:t xml:space="preserve">octoral thesis </w:t>
      </w:r>
      <w:r w:rsidRPr="001F0ED9">
        <w:rPr>
          <w:rFonts w:asciiTheme="minorHAnsi" w:hAnsiTheme="minorHAnsi" w:cstheme="minorHAnsi"/>
          <w:sz w:val="22"/>
        </w:rPr>
        <w:t>requir</w:t>
      </w:r>
      <w:r>
        <w:rPr>
          <w:rFonts w:asciiTheme="minorHAnsi" w:hAnsiTheme="minorHAnsi" w:cstheme="minorHAnsi"/>
          <w:sz w:val="22"/>
        </w:rPr>
        <w:t>ing</w:t>
      </w:r>
      <w:r w:rsidRPr="001F0ED9">
        <w:rPr>
          <w:rFonts w:asciiTheme="minorHAnsi" w:hAnsiTheme="minorHAnsi" w:cstheme="minorHAnsi"/>
          <w:sz w:val="22"/>
        </w:rPr>
        <w:t xml:space="preserve"> </w:t>
      </w:r>
      <w:r w:rsidR="00D30958" w:rsidRPr="001F0ED9">
        <w:rPr>
          <w:rFonts w:asciiTheme="minorHAnsi" w:hAnsiTheme="minorHAnsi" w:cstheme="minorHAnsi"/>
          <w:sz w:val="22"/>
        </w:rPr>
        <w:t>re-examination shall be submitted to the School of Graduate Studies within twelve months of the date on which the thesis and the examiners’ reports are returned to the student.</w:t>
      </w:r>
      <w:r w:rsidR="00E61784">
        <w:rPr>
          <w:rFonts w:asciiTheme="minorHAnsi" w:hAnsiTheme="minorHAnsi" w:cstheme="minorHAnsi"/>
          <w:sz w:val="22"/>
        </w:rPr>
        <w:t xml:space="preserve"> </w:t>
      </w:r>
      <w:r w:rsidR="00D30958" w:rsidRPr="001F0ED9">
        <w:rPr>
          <w:rFonts w:asciiTheme="minorHAnsi" w:hAnsiTheme="minorHAnsi" w:cstheme="minorHAnsi"/>
          <w:sz w:val="22"/>
        </w:rPr>
        <w:t xml:space="preserve">Failure to re-submit the revised thesis within twelve months will result in termination of the student’s program. </w:t>
      </w:r>
    </w:p>
    <w:p w14:paraId="060131E0"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76E30BDA" w14:textId="77777777"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Students should keep in mind that they must maintain their graduate registration until all academic requirements for the degree including thesis corrections have been met. </w:t>
      </w:r>
    </w:p>
    <w:p w14:paraId="7F4AB436" w14:textId="77777777" w:rsidR="006E5D8F" w:rsidRPr="001F0ED9" w:rsidRDefault="00D30958" w:rsidP="008305ED">
      <w:pPr>
        <w:spacing w:after="5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6FF06BEF" w14:textId="566DD91C" w:rsidR="006E5D8F" w:rsidRPr="001F0ED9" w:rsidRDefault="006E5D8F" w:rsidP="008305ED">
      <w:pPr>
        <w:spacing w:after="0" w:line="240" w:lineRule="auto"/>
        <w:ind w:left="0" w:right="15" w:firstLine="0"/>
        <w:jc w:val="left"/>
        <w:rPr>
          <w:rFonts w:asciiTheme="minorHAnsi" w:hAnsiTheme="minorHAnsi" w:cstheme="minorHAnsi"/>
          <w:sz w:val="22"/>
        </w:rPr>
      </w:pPr>
    </w:p>
    <w:p w14:paraId="75699473" w14:textId="4F2EE368" w:rsidR="006E5D8F" w:rsidRDefault="007377D1" w:rsidP="008305ED">
      <w:pPr>
        <w:pStyle w:val="Heading1"/>
        <w:spacing w:line="240" w:lineRule="auto"/>
        <w:ind w:left="0" w:right="15"/>
        <w:rPr>
          <w:rFonts w:asciiTheme="minorHAnsi" w:hAnsiTheme="minorHAnsi" w:cstheme="minorHAnsi"/>
          <w:sz w:val="28"/>
          <w:szCs w:val="28"/>
        </w:rPr>
      </w:pPr>
      <w:r>
        <w:rPr>
          <w:rFonts w:asciiTheme="minorHAnsi" w:hAnsiTheme="minorHAnsi" w:cstheme="minorHAnsi"/>
          <w:sz w:val="28"/>
          <w:szCs w:val="28"/>
        </w:rPr>
        <w:br w:type="column"/>
      </w:r>
      <w:bookmarkStart w:id="10" w:name="_Toc111554538"/>
      <w:r w:rsidR="00D30958" w:rsidRPr="00E5721F">
        <w:rPr>
          <w:rFonts w:asciiTheme="minorHAnsi" w:hAnsiTheme="minorHAnsi" w:cstheme="minorHAnsi"/>
          <w:sz w:val="28"/>
          <w:szCs w:val="28"/>
        </w:rPr>
        <w:lastRenderedPageBreak/>
        <w:t>Termination of a Graduate Program</w:t>
      </w:r>
      <w:bookmarkEnd w:id="10"/>
      <w:r w:rsidR="00D30958" w:rsidRPr="00E5721F">
        <w:rPr>
          <w:rFonts w:asciiTheme="minorHAnsi" w:hAnsiTheme="minorHAnsi" w:cstheme="minorHAnsi"/>
          <w:sz w:val="28"/>
          <w:szCs w:val="28"/>
        </w:rPr>
        <w:t xml:space="preserve"> </w:t>
      </w:r>
    </w:p>
    <w:p w14:paraId="353D4D84" w14:textId="77777777" w:rsidR="00310825" w:rsidRPr="00977CDF" w:rsidRDefault="00310825" w:rsidP="008305ED">
      <w:pPr>
        <w:spacing w:line="240" w:lineRule="auto"/>
        <w:ind w:right="15"/>
        <w:jc w:val="left"/>
      </w:pPr>
    </w:p>
    <w:p w14:paraId="6E70FDE1" w14:textId="77777777" w:rsidR="006E5D8F" w:rsidRPr="001F0ED9" w:rsidRDefault="00D30958" w:rsidP="008305ED">
      <w:pPr>
        <w:spacing w:after="272"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Grounds for termination of a Graduate Program (as per Clause 4.13 of the “General Regulations” of the School of Graduate Studies; </w:t>
      </w:r>
      <w:r w:rsidRPr="001F0ED9">
        <w:rPr>
          <w:rFonts w:asciiTheme="minorHAnsi" w:hAnsiTheme="minorHAnsi" w:cstheme="minorHAnsi"/>
          <w:color w:val="800080"/>
          <w:sz w:val="22"/>
          <w:u w:val="single" w:color="800080"/>
        </w:rPr>
        <w:t xml:space="preserve">http://www.mun.ca/regoff/calendar/ </w:t>
      </w:r>
      <w:proofErr w:type="spellStart"/>
      <w:r w:rsidRPr="001F0ED9">
        <w:rPr>
          <w:rFonts w:asciiTheme="minorHAnsi" w:hAnsiTheme="minorHAnsi" w:cstheme="minorHAnsi"/>
          <w:color w:val="800080"/>
          <w:sz w:val="22"/>
          <w:u w:val="single" w:color="800080"/>
        </w:rPr>
        <w:t>sectionNo</w:t>
      </w:r>
      <w:proofErr w:type="spellEnd"/>
      <w:r w:rsidRPr="001F0ED9">
        <w:rPr>
          <w:rFonts w:asciiTheme="minorHAnsi" w:hAnsiTheme="minorHAnsi" w:cstheme="minorHAnsi"/>
          <w:color w:val="800080"/>
          <w:sz w:val="22"/>
          <w:u w:val="single" w:color="800080"/>
        </w:rPr>
        <w:t>=GRAD-0031</w:t>
      </w:r>
      <w:r w:rsidRPr="001F0ED9">
        <w:rPr>
          <w:rFonts w:asciiTheme="minorHAnsi" w:hAnsiTheme="minorHAnsi" w:cstheme="minorHAnsi"/>
          <w:sz w:val="22"/>
        </w:rPr>
        <w:t xml:space="preserve">) are as follows: </w:t>
      </w:r>
    </w:p>
    <w:p w14:paraId="7FC8958C" w14:textId="77777777" w:rsidR="006E5D8F" w:rsidRPr="001F0ED9" w:rsidRDefault="00D30958" w:rsidP="007377D1">
      <w:pPr>
        <w:spacing w:after="9" w:line="240" w:lineRule="auto"/>
        <w:ind w:left="284" w:right="15" w:firstLine="0"/>
        <w:jc w:val="left"/>
        <w:rPr>
          <w:rFonts w:asciiTheme="minorHAnsi" w:hAnsiTheme="minorHAnsi" w:cstheme="minorHAnsi"/>
          <w:sz w:val="22"/>
        </w:rPr>
      </w:pPr>
      <w:r w:rsidRPr="001F0ED9">
        <w:rPr>
          <w:rFonts w:asciiTheme="minorHAnsi" w:hAnsiTheme="minorHAnsi" w:cstheme="minorHAnsi"/>
          <w:color w:val="202020"/>
          <w:sz w:val="22"/>
        </w:rPr>
        <w:t>1.</w:t>
      </w:r>
      <w:r w:rsidRPr="001F0ED9">
        <w:rPr>
          <w:rFonts w:asciiTheme="minorHAnsi" w:eastAsia="Arial" w:hAnsiTheme="minorHAnsi" w:cstheme="minorHAnsi"/>
          <w:color w:val="202020"/>
          <w:sz w:val="22"/>
        </w:rPr>
        <w:t xml:space="preserve"> </w:t>
      </w:r>
      <w:r w:rsidRPr="001F0ED9">
        <w:rPr>
          <w:rFonts w:asciiTheme="minorHAnsi" w:hAnsiTheme="minorHAnsi" w:cstheme="minorHAnsi"/>
          <w:color w:val="202020"/>
          <w:sz w:val="22"/>
        </w:rPr>
        <w:t xml:space="preserve"> </w:t>
      </w:r>
    </w:p>
    <w:p w14:paraId="4D1E22F4" w14:textId="77777777" w:rsidR="006E5D8F" w:rsidRPr="001F0ED9"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Failure to comply with the conditions of admission into a program, unless the conditions of admission have been changed with approval of the academic unit and the School of Graduate Studies; </w:t>
      </w:r>
    </w:p>
    <w:p w14:paraId="182FD7AA" w14:textId="77777777" w:rsidR="006E5D8F" w:rsidRPr="001F0ED9"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Failure to register in any semester by the final date for adding courses (see Registration, Program Registration link: </w:t>
      </w:r>
      <w:r w:rsidRPr="001F0ED9">
        <w:rPr>
          <w:rFonts w:asciiTheme="minorHAnsi" w:hAnsiTheme="minorHAnsi" w:cstheme="minorHAnsi"/>
          <w:color w:val="0000FF"/>
          <w:sz w:val="22"/>
          <w:u w:val="single" w:color="0000FF"/>
        </w:rPr>
        <w:t>http://www.mun.ca/regoff/ calendar/</w:t>
      </w:r>
      <w:proofErr w:type="spellStart"/>
      <w:r w:rsidRPr="001F0ED9">
        <w:rPr>
          <w:rFonts w:asciiTheme="minorHAnsi" w:hAnsiTheme="minorHAnsi" w:cstheme="minorHAnsi"/>
          <w:color w:val="0000FF"/>
          <w:sz w:val="22"/>
          <w:u w:val="single" w:color="0000FF"/>
        </w:rPr>
        <w:t>sectionNo</w:t>
      </w:r>
      <w:proofErr w:type="spellEnd"/>
      <w:r w:rsidRPr="001F0ED9">
        <w:rPr>
          <w:rFonts w:asciiTheme="minorHAnsi" w:hAnsiTheme="minorHAnsi" w:cstheme="minorHAnsi"/>
          <w:color w:val="0000FF"/>
          <w:sz w:val="22"/>
          <w:u w:val="single" w:color="0000FF"/>
        </w:rPr>
        <w:t>=GRAD-0018</w:t>
      </w:r>
      <w:r w:rsidRPr="001F0ED9">
        <w:rPr>
          <w:rFonts w:asciiTheme="minorHAnsi" w:hAnsiTheme="minorHAnsi" w:cstheme="minorHAnsi"/>
          <w:color w:val="202020"/>
          <w:sz w:val="22"/>
        </w:rPr>
        <w:t xml:space="preserve">); </w:t>
      </w:r>
    </w:p>
    <w:p w14:paraId="7E71533F" w14:textId="77777777" w:rsidR="006E5D8F" w:rsidRPr="001F0ED9"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Failure to obtain the required grades in courses as stated in the appropriate degree regulations (see </w:t>
      </w:r>
      <w:hyperlink r:id="rId31" w:history="1">
        <w:r w:rsidRPr="00E90D1B">
          <w:rPr>
            <w:rStyle w:val="Hyperlink"/>
            <w:rFonts w:asciiTheme="minorHAnsi" w:hAnsiTheme="minorHAnsi" w:cstheme="minorHAnsi"/>
            <w:b/>
            <w:sz w:val="22"/>
          </w:rPr>
          <w:t>Evaluation</w:t>
        </w:r>
      </w:hyperlink>
      <w:r w:rsidRPr="001F0ED9">
        <w:rPr>
          <w:rFonts w:asciiTheme="minorHAnsi" w:hAnsiTheme="minorHAnsi" w:cstheme="minorHAnsi"/>
          <w:color w:val="202020"/>
          <w:sz w:val="22"/>
        </w:rPr>
        <w:t xml:space="preserve">); </w:t>
      </w:r>
    </w:p>
    <w:p w14:paraId="224D5DFD" w14:textId="4911FFB7" w:rsidR="006E5D8F" w:rsidRPr="004A7D8C"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Failure in comprehensive examinations (see </w:t>
      </w:r>
      <w:hyperlink r:id="rId32" w:history="1">
        <w:r w:rsidRPr="00E90D1B">
          <w:rPr>
            <w:rStyle w:val="Hyperlink"/>
            <w:rFonts w:asciiTheme="minorHAnsi" w:hAnsiTheme="minorHAnsi" w:cstheme="minorHAnsi"/>
            <w:b/>
            <w:sz w:val="22"/>
          </w:rPr>
          <w:t xml:space="preserve">Comprehensive </w:t>
        </w:r>
        <w:r w:rsidRPr="004A7D8C">
          <w:rPr>
            <w:rStyle w:val="Hyperlink"/>
            <w:rFonts w:asciiTheme="minorHAnsi" w:hAnsiTheme="minorHAnsi" w:cstheme="minorHAnsi"/>
            <w:b/>
            <w:sz w:val="22"/>
          </w:rPr>
          <w:t>Examinations</w:t>
        </w:r>
        <w:r w:rsidRPr="004A7D8C">
          <w:rPr>
            <w:rStyle w:val="Hyperlink"/>
            <w:rFonts w:asciiTheme="minorHAnsi" w:hAnsiTheme="minorHAnsi" w:cstheme="minorHAnsi"/>
            <w:sz w:val="22"/>
          </w:rPr>
          <w:t>)</w:t>
        </w:r>
      </w:hyperlink>
      <w:r w:rsidRPr="004A7D8C">
        <w:rPr>
          <w:rFonts w:asciiTheme="minorHAnsi" w:hAnsiTheme="minorHAnsi" w:cstheme="minorHAnsi"/>
          <w:color w:val="202020"/>
          <w:sz w:val="22"/>
        </w:rPr>
        <w:t xml:space="preserve">; </w:t>
      </w:r>
    </w:p>
    <w:p w14:paraId="0D1B7274" w14:textId="77777777" w:rsidR="006E5D8F" w:rsidRPr="001F0ED9"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Demonstrated lack of progress in a program supported by written documentation; </w:t>
      </w:r>
    </w:p>
    <w:p w14:paraId="710280D0" w14:textId="77777777" w:rsidR="006E5D8F" w:rsidRPr="001F0ED9"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Recommendation of the Supervisory Committee (see </w:t>
      </w:r>
      <w:hyperlink r:id="rId33" w:history="1">
        <w:r w:rsidRPr="006711E9">
          <w:rPr>
            <w:rStyle w:val="Hyperlink"/>
            <w:rFonts w:asciiTheme="minorHAnsi" w:hAnsiTheme="minorHAnsi" w:cstheme="minorHAnsi"/>
            <w:b/>
            <w:sz w:val="22"/>
          </w:rPr>
          <w:t>Supervision</w:t>
        </w:r>
      </w:hyperlink>
      <w:r w:rsidRPr="001F0ED9">
        <w:rPr>
          <w:rFonts w:asciiTheme="minorHAnsi" w:hAnsiTheme="minorHAnsi" w:cstheme="minorHAnsi"/>
          <w:color w:val="202020"/>
          <w:sz w:val="22"/>
        </w:rPr>
        <w:t xml:space="preserve">); </w:t>
      </w:r>
    </w:p>
    <w:p w14:paraId="5CCC2041" w14:textId="77777777" w:rsidR="00504F07"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Failure of Thesis, Project or Internship (see </w:t>
      </w:r>
      <w:hyperlink r:id="rId34" w:history="1">
        <w:r w:rsidRPr="006711E9">
          <w:rPr>
            <w:rStyle w:val="Hyperlink"/>
            <w:rFonts w:asciiTheme="minorHAnsi" w:hAnsiTheme="minorHAnsi" w:cstheme="minorHAnsi"/>
            <w:b/>
            <w:sz w:val="22"/>
          </w:rPr>
          <w:t>Theses and Reports</w:t>
        </w:r>
      </w:hyperlink>
      <w:r w:rsidRPr="001F0ED9">
        <w:rPr>
          <w:rFonts w:asciiTheme="minorHAnsi" w:hAnsiTheme="minorHAnsi" w:cstheme="minorHAnsi"/>
          <w:color w:val="202020"/>
          <w:sz w:val="22"/>
        </w:rPr>
        <w:t xml:space="preserve">); </w:t>
      </w:r>
    </w:p>
    <w:p w14:paraId="4AF1ECAC" w14:textId="0ED0013C" w:rsidR="006E5D8F" w:rsidRPr="00504F07" w:rsidRDefault="00D30958" w:rsidP="007377D1">
      <w:pPr>
        <w:numPr>
          <w:ilvl w:val="0"/>
          <w:numId w:val="16"/>
        </w:numPr>
        <w:spacing w:after="9" w:line="240" w:lineRule="auto"/>
        <w:ind w:left="1134" w:right="15" w:hanging="425"/>
        <w:jc w:val="left"/>
        <w:rPr>
          <w:rFonts w:asciiTheme="minorHAnsi" w:hAnsiTheme="minorHAnsi" w:cstheme="minorHAnsi"/>
          <w:sz w:val="22"/>
        </w:rPr>
      </w:pPr>
      <w:r w:rsidRPr="00504F07">
        <w:rPr>
          <w:rFonts w:asciiTheme="minorHAnsi" w:hAnsiTheme="minorHAnsi" w:cstheme="minorHAnsi"/>
          <w:color w:val="202020"/>
          <w:sz w:val="22"/>
        </w:rPr>
        <w:t xml:space="preserve">Academic misconduct as outlined under </w:t>
      </w:r>
      <w:r w:rsidRPr="00504F07">
        <w:rPr>
          <w:rFonts w:asciiTheme="minorHAnsi" w:hAnsiTheme="minorHAnsi" w:cstheme="minorHAnsi"/>
          <w:b/>
          <w:color w:val="0070C0"/>
          <w:sz w:val="22"/>
          <w:u w:val="single" w:color="990000"/>
        </w:rPr>
        <w:t>G</w:t>
      </w:r>
      <w:hyperlink r:id="rId35" w:history="1">
        <w:r w:rsidRPr="00504F07">
          <w:rPr>
            <w:rStyle w:val="Hyperlink"/>
            <w:rFonts w:asciiTheme="minorHAnsi" w:hAnsiTheme="minorHAnsi" w:cstheme="minorHAnsi"/>
            <w:b/>
            <w:sz w:val="22"/>
            <w:u w:color="990000"/>
          </w:rPr>
          <w:t>eneral Regulations</w:t>
        </w:r>
      </w:hyperlink>
      <w:r w:rsidRPr="00504F07">
        <w:rPr>
          <w:rFonts w:asciiTheme="minorHAnsi" w:hAnsiTheme="minorHAnsi" w:cstheme="minorHAnsi"/>
          <w:color w:val="202020"/>
          <w:sz w:val="22"/>
        </w:rPr>
        <w:t xml:space="preserve">, </w:t>
      </w:r>
      <w:hyperlink r:id="rId36" w:history="1">
        <w:r w:rsidRPr="00504F07">
          <w:rPr>
            <w:rStyle w:val="Hyperlink"/>
            <w:rFonts w:asciiTheme="minorHAnsi" w:hAnsiTheme="minorHAnsi" w:cstheme="minorHAnsi"/>
            <w:b/>
            <w:sz w:val="22"/>
            <w:u w:color="990000"/>
          </w:rPr>
          <w:t>Academic</w:t>
        </w:r>
        <w:r w:rsidRPr="00504F07">
          <w:rPr>
            <w:rStyle w:val="Hyperlink"/>
            <w:rFonts w:asciiTheme="minorHAnsi" w:hAnsiTheme="minorHAnsi" w:cstheme="minorHAnsi"/>
            <w:b/>
            <w:sz w:val="22"/>
          </w:rPr>
          <w:t xml:space="preserve"> </w:t>
        </w:r>
        <w:r w:rsidRPr="00504F07">
          <w:rPr>
            <w:rStyle w:val="Hyperlink"/>
            <w:rFonts w:asciiTheme="minorHAnsi" w:hAnsiTheme="minorHAnsi" w:cstheme="minorHAnsi"/>
            <w:b/>
            <w:sz w:val="22"/>
            <w:u w:color="990000"/>
          </w:rPr>
          <w:t>Behaviour</w:t>
        </w:r>
      </w:hyperlink>
      <w:r w:rsidRPr="00504F07">
        <w:rPr>
          <w:rFonts w:asciiTheme="minorHAnsi" w:hAnsiTheme="minorHAnsi" w:cstheme="minorHAnsi"/>
          <w:color w:val="202020"/>
          <w:sz w:val="22"/>
        </w:rPr>
        <w:t xml:space="preserve"> governing the School of Graduate Studies. </w:t>
      </w:r>
    </w:p>
    <w:p w14:paraId="3D65E623" w14:textId="77777777" w:rsidR="00CC4A82" w:rsidRPr="001F0ED9" w:rsidRDefault="00CC4A82" w:rsidP="008305ED">
      <w:pPr>
        <w:spacing w:after="9" w:line="240" w:lineRule="auto"/>
        <w:ind w:right="15"/>
        <w:jc w:val="left"/>
        <w:rPr>
          <w:rFonts w:asciiTheme="minorHAnsi" w:hAnsiTheme="minorHAnsi" w:cstheme="minorHAnsi"/>
          <w:sz w:val="22"/>
        </w:rPr>
      </w:pPr>
    </w:p>
    <w:p w14:paraId="3E115A60" w14:textId="77777777" w:rsidR="006E5D8F" w:rsidRPr="001F0ED9" w:rsidRDefault="00D30958" w:rsidP="007377D1">
      <w:pPr>
        <w:numPr>
          <w:ilvl w:val="0"/>
          <w:numId w:val="17"/>
        </w:numPr>
        <w:spacing w:after="9" w:line="240" w:lineRule="auto"/>
        <w:ind w:left="709"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The foregoing notwithstanding, the University reserves the right to require students to discontinue their program or to deny them admission where, in the opinion of the Academic Council of the School of Graduate Studies, following appropriate professional consultation, there is a reasonable likelihood that a student's health or conduct could result in endangering the lives, health or safety of other persons on campus or in settings related to the student's university studies. </w:t>
      </w:r>
    </w:p>
    <w:p w14:paraId="3AC4F130" w14:textId="77777777" w:rsidR="006E5D8F" w:rsidRPr="001F0ED9" w:rsidRDefault="00D30958" w:rsidP="007377D1">
      <w:pPr>
        <w:spacing w:after="0" w:line="240" w:lineRule="auto"/>
        <w:ind w:left="709" w:right="15" w:hanging="425"/>
        <w:jc w:val="left"/>
        <w:rPr>
          <w:rFonts w:asciiTheme="minorHAnsi" w:hAnsiTheme="minorHAnsi" w:cstheme="minorHAnsi"/>
          <w:sz w:val="22"/>
        </w:rPr>
      </w:pPr>
      <w:r w:rsidRPr="001F0ED9">
        <w:rPr>
          <w:rFonts w:asciiTheme="minorHAnsi" w:hAnsiTheme="minorHAnsi" w:cstheme="minorHAnsi"/>
          <w:color w:val="202020"/>
          <w:sz w:val="22"/>
        </w:rPr>
        <w:t xml:space="preserve"> </w:t>
      </w:r>
    </w:p>
    <w:p w14:paraId="30658FE3" w14:textId="6C629244" w:rsidR="006E5D8F" w:rsidRPr="001F0ED9" w:rsidRDefault="00D30958" w:rsidP="00AB2EA6">
      <w:pPr>
        <w:numPr>
          <w:ilvl w:val="0"/>
          <w:numId w:val="17"/>
        </w:numPr>
        <w:spacing w:after="0" w:line="240" w:lineRule="auto"/>
        <w:ind w:left="709" w:right="15" w:hanging="425"/>
        <w:jc w:val="left"/>
        <w:rPr>
          <w:rFonts w:asciiTheme="minorHAnsi" w:hAnsiTheme="minorHAnsi" w:cstheme="minorHAnsi"/>
          <w:sz w:val="22"/>
        </w:rPr>
      </w:pPr>
      <w:r w:rsidRPr="001F0ED9">
        <w:rPr>
          <w:rFonts w:asciiTheme="minorHAnsi" w:hAnsiTheme="minorHAnsi" w:cstheme="minorHAnsi"/>
          <w:color w:val="202020"/>
          <w:sz w:val="22"/>
        </w:rPr>
        <w:t>The foregoing notwithstanding, the School of Graduate Studies reserves the right to require students to discontinue their studies, or to deny them re-admission, where a student has been determined to have engaged in unprofessional conduct.</w:t>
      </w:r>
      <w:r w:rsidR="00E61784">
        <w:rPr>
          <w:rFonts w:asciiTheme="minorHAnsi" w:hAnsiTheme="minorHAnsi" w:cstheme="minorHAnsi"/>
          <w:color w:val="202020"/>
          <w:sz w:val="22"/>
        </w:rPr>
        <w:t xml:space="preserve"> </w:t>
      </w:r>
      <w:r w:rsidRPr="001F0ED9">
        <w:rPr>
          <w:rFonts w:asciiTheme="minorHAnsi" w:hAnsiTheme="minorHAnsi" w:cstheme="minorHAnsi"/>
          <w:color w:val="202020"/>
          <w:sz w:val="22"/>
        </w:rPr>
        <w:t>The code of ethics of each profession will serve as the guideline as to what constitutes unprofessional conduct.</w:t>
      </w:r>
      <w:r w:rsidR="00E61784">
        <w:rPr>
          <w:rFonts w:asciiTheme="minorHAnsi" w:hAnsiTheme="minorHAnsi" w:cstheme="minorHAnsi"/>
          <w:color w:val="202020"/>
          <w:sz w:val="22"/>
        </w:rPr>
        <w:t xml:space="preserve"> </w:t>
      </w:r>
      <w:r w:rsidRPr="001F0ED9">
        <w:rPr>
          <w:rFonts w:asciiTheme="minorHAnsi" w:hAnsiTheme="minorHAnsi" w:cstheme="minorHAnsi"/>
          <w:color w:val="202020"/>
          <w:sz w:val="22"/>
        </w:rPr>
        <w:t xml:space="preserve">However, should there not be any statements of what constitutes unprofessional conduct, the following standard will apply: Unprofessional Conduct: that conduct which involves a breach of the duties required by professional ethics. </w:t>
      </w:r>
    </w:p>
    <w:p w14:paraId="1E262F66" w14:textId="77777777" w:rsidR="00CC4A82" w:rsidRDefault="00CC4A82" w:rsidP="00AB2EA6">
      <w:pPr>
        <w:spacing w:after="0" w:line="240" w:lineRule="auto"/>
        <w:ind w:left="0" w:right="15" w:firstLine="0"/>
        <w:jc w:val="left"/>
        <w:rPr>
          <w:rFonts w:asciiTheme="minorHAnsi" w:hAnsiTheme="minorHAnsi" w:cstheme="minorHAnsi"/>
          <w:b/>
          <w:i/>
          <w:color w:val="202020"/>
          <w:sz w:val="22"/>
        </w:rPr>
      </w:pPr>
    </w:p>
    <w:p w14:paraId="434DBBF3" w14:textId="5784C0EF" w:rsidR="006E5D8F" w:rsidRPr="007377D1" w:rsidRDefault="00D30958" w:rsidP="00AB2EA6">
      <w:pPr>
        <w:spacing w:after="0" w:line="240" w:lineRule="auto"/>
        <w:ind w:left="0" w:right="15" w:firstLine="0"/>
        <w:jc w:val="left"/>
        <w:rPr>
          <w:rFonts w:asciiTheme="minorHAnsi" w:hAnsiTheme="minorHAnsi" w:cstheme="minorHAnsi"/>
          <w:i/>
          <w:color w:val="202020"/>
          <w:sz w:val="22"/>
        </w:rPr>
      </w:pPr>
      <w:r w:rsidRPr="007377D1">
        <w:rPr>
          <w:rFonts w:asciiTheme="minorHAnsi" w:hAnsiTheme="minorHAnsi" w:cstheme="minorHAnsi"/>
          <w:b/>
          <w:iCs/>
          <w:color w:val="202020"/>
          <w:szCs w:val="24"/>
        </w:rPr>
        <w:t>Notes</w:t>
      </w:r>
      <w:r w:rsidR="008330A6">
        <w:rPr>
          <w:rFonts w:asciiTheme="minorHAnsi" w:hAnsiTheme="minorHAnsi" w:cstheme="minorHAnsi"/>
          <w:b/>
          <w:iCs/>
          <w:color w:val="202020"/>
          <w:szCs w:val="24"/>
        </w:rPr>
        <w:t>:</w:t>
      </w:r>
      <w:r w:rsidRPr="007377D1">
        <w:rPr>
          <w:rFonts w:asciiTheme="minorHAnsi" w:hAnsiTheme="minorHAnsi" w:cstheme="minorHAnsi"/>
          <w:i/>
          <w:color w:val="202020"/>
          <w:sz w:val="22"/>
        </w:rPr>
        <w:t xml:space="preserve"> </w:t>
      </w:r>
    </w:p>
    <w:p w14:paraId="479399DA" w14:textId="6D1234AE" w:rsidR="008330A6" w:rsidRPr="008330A6" w:rsidRDefault="00D30958" w:rsidP="008330A6">
      <w:pPr>
        <w:numPr>
          <w:ilvl w:val="0"/>
          <w:numId w:val="18"/>
        </w:numPr>
        <w:spacing w:after="0" w:line="240" w:lineRule="auto"/>
        <w:ind w:right="15" w:hanging="421"/>
        <w:jc w:val="left"/>
        <w:rPr>
          <w:rFonts w:asciiTheme="minorHAnsi" w:hAnsiTheme="minorHAnsi" w:cstheme="minorHAnsi"/>
          <w:sz w:val="22"/>
        </w:rPr>
      </w:pPr>
      <w:r w:rsidRPr="001F0ED9">
        <w:rPr>
          <w:rFonts w:asciiTheme="minorHAnsi" w:hAnsiTheme="minorHAnsi" w:cstheme="minorHAnsi"/>
          <w:i/>
          <w:color w:val="202020"/>
          <w:sz w:val="22"/>
        </w:rPr>
        <w:t xml:space="preserve">If the University or a School or Faculty requires a student to discontinue his/her studies under any of the above clauses, that student must be advised in writing of the nature of the case against him/her and must be advised of the right to appeal before the penalty imposed takes effect. </w:t>
      </w:r>
    </w:p>
    <w:p w14:paraId="6A5A3745" w14:textId="2EBE59B8" w:rsidR="008330A6" w:rsidRPr="008330A6" w:rsidRDefault="00D30958" w:rsidP="008330A6">
      <w:pPr>
        <w:numPr>
          <w:ilvl w:val="0"/>
          <w:numId w:val="18"/>
        </w:numPr>
        <w:spacing w:after="0" w:line="240" w:lineRule="auto"/>
        <w:ind w:right="15" w:hanging="421"/>
        <w:jc w:val="left"/>
        <w:rPr>
          <w:rFonts w:asciiTheme="minorHAnsi" w:hAnsiTheme="minorHAnsi" w:cstheme="minorHAnsi"/>
          <w:sz w:val="22"/>
        </w:rPr>
      </w:pPr>
      <w:r w:rsidRPr="001F0ED9">
        <w:rPr>
          <w:rFonts w:asciiTheme="minorHAnsi" w:hAnsiTheme="minorHAnsi" w:cstheme="minorHAnsi"/>
          <w:i/>
          <w:color w:val="202020"/>
          <w:sz w:val="22"/>
        </w:rPr>
        <w:t>Appeals against actions taken under Clause 2 should be directed to the Senate of the University.</w:t>
      </w:r>
      <w:r w:rsidR="00E61784">
        <w:rPr>
          <w:rFonts w:asciiTheme="minorHAnsi" w:hAnsiTheme="minorHAnsi" w:cstheme="minorHAnsi"/>
          <w:i/>
          <w:color w:val="202020"/>
          <w:sz w:val="22"/>
        </w:rPr>
        <w:t xml:space="preserve"> </w:t>
      </w:r>
      <w:r w:rsidRPr="001F0ED9">
        <w:rPr>
          <w:rFonts w:asciiTheme="minorHAnsi" w:hAnsiTheme="minorHAnsi" w:cstheme="minorHAnsi"/>
          <w:i/>
          <w:color w:val="202020"/>
          <w:sz w:val="22"/>
        </w:rPr>
        <w:t xml:space="preserve">Any such appeal should be made in writing clearly stating the basis for the appeal and should be directed to the Secretary of Senate, c/o the Office of the Registrar. </w:t>
      </w:r>
    </w:p>
    <w:p w14:paraId="718BF855" w14:textId="77777777" w:rsidR="006E5D8F" w:rsidRPr="001F0ED9" w:rsidRDefault="00D30958" w:rsidP="00AB2EA6">
      <w:pPr>
        <w:numPr>
          <w:ilvl w:val="0"/>
          <w:numId w:val="18"/>
        </w:numPr>
        <w:spacing w:after="0" w:line="240" w:lineRule="auto"/>
        <w:ind w:right="15" w:hanging="421"/>
        <w:jc w:val="left"/>
        <w:rPr>
          <w:rFonts w:asciiTheme="minorHAnsi" w:hAnsiTheme="minorHAnsi" w:cstheme="minorHAnsi"/>
          <w:sz w:val="22"/>
        </w:rPr>
      </w:pPr>
      <w:r w:rsidRPr="001F0ED9">
        <w:rPr>
          <w:rFonts w:asciiTheme="minorHAnsi" w:hAnsiTheme="minorHAnsi" w:cstheme="minorHAnsi"/>
          <w:i/>
          <w:color w:val="202020"/>
          <w:sz w:val="22"/>
        </w:rPr>
        <w:t xml:space="preserve">Appeals against actions taken under Clause 3 should be directed to the Appeals Committee, School of Graduate Studies. </w:t>
      </w:r>
    </w:p>
    <w:p w14:paraId="21C2CD37" w14:textId="77777777" w:rsidR="00E5721F" w:rsidRDefault="00E5721F" w:rsidP="008305ED">
      <w:pPr>
        <w:spacing w:after="160" w:line="240" w:lineRule="auto"/>
        <w:ind w:left="0" w:right="15" w:firstLine="0"/>
        <w:jc w:val="left"/>
        <w:rPr>
          <w:rFonts w:asciiTheme="minorHAnsi" w:hAnsiTheme="minorHAnsi" w:cstheme="minorHAnsi"/>
          <w:b/>
          <w:sz w:val="22"/>
        </w:rPr>
      </w:pPr>
      <w:r>
        <w:rPr>
          <w:rFonts w:asciiTheme="minorHAnsi" w:hAnsiTheme="minorHAnsi" w:cstheme="minorHAnsi"/>
          <w:b/>
          <w:sz w:val="22"/>
        </w:rPr>
        <w:br w:type="page"/>
      </w:r>
    </w:p>
    <w:p w14:paraId="49478608" w14:textId="77777777" w:rsidR="006E5D8F" w:rsidRPr="00107C58" w:rsidRDefault="00D30958" w:rsidP="008305ED">
      <w:pPr>
        <w:pStyle w:val="Heading1"/>
        <w:spacing w:line="240" w:lineRule="auto"/>
        <w:ind w:left="0" w:right="15"/>
        <w:rPr>
          <w:rFonts w:asciiTheme="minorHAnsi" w:hAnsiTheme="minorHAnsi" w:cstheme="minorHAnsi"/>
          <w:sz w:val="28"/>
          <w:szCs w:val="28"/>
        </w:rPr>
      </w:pPr>
      <w:bookmarkStart w:id="11" w:name="_Toc111554539"/>
      <w:r w:rsidRPr="00107C58">
        <w:rPr>
          <w:rFonts w:asciiTheme="minorHAnsi" w:hAnsiTheme="minorHAnsi" w:cstheme="minorHAnsi"/>
          <w:sz w:val="28"/>
          <w:szCs w:val="28"/>
        </w:rPr>
        <w:lastRenderedPageBreak/>
        <w:t>APPENDIX A</w:t>
      </w:r>
      <w:bookmarkEnd w:id="11"/>
    </w:p>
    <w:p w14:paraId="57EDAC95"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5402BB80" w14:textId="77777777" w:rsidR="006E5D8F" w:rsidRPr="00E5721F" w:rsidRDefault="00D30958" w:rsidP="008305ED">
      <w:pPr>
        <w:pStyle w:val="Heading2"/>
        <w:spacing w:line="240" w:lineRule="auto"/>
        <w:ind w:right="15"/>
        <w:rPr>
          <w:rFonts w:asciiTheme="minorHAnsi" w:hAnsiTheme="minorHAnsi" w:cstheme="minorHAnsi"/>
          <w:sz w:val="24"/>
          <w:szCs w:val="24"/>
          <w:u w:val="none"/>
        </w:rPr>
      </w:pPr>
      <w:bookmarkStart w:id="12" w:name="_Toc111554540"/>
      <w:r w:rsidRPr="00E5721F">
        <w:rPr>
          <w:rFonts w:asciiTheme="minorHAnsi" w:hAnsiTheme="minorHAnsi" w:cstheme="minorHAnsi"/>
          <w:sz w:val="24"/>
          <w:szCs w:val="24"/>
          <w:u w:val="none"/>
        </w:rPr>
        <w:t>PROCESSES AND REGULATIONS OF GRADUATE STUDIES</w:t>
      </w:r>
      <w:bookmarkEnd w:id="12"/>
    </w:p>
    <w:p w14:paraId="07E00282" w14:textId="77777777" w:rsidR="006E5D8F" w:rsidRPr="001F0ED9" w:rsidRDefault="00D30958" w:rsidP="008305ED">
      <w:pPr>
        <w:spacing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SCHOOL OF PHARMACY, MEMORIAL UNIVERSITY OF NEWFOUNDLAND </w:t>
      </w:r>
    </w:p>
    <w:p w14:paraId="37CCE302"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4A2D9CE4" w14:textId="25515373" w:rsidR="006E5D8F" w:rsidRPr="001F0ED9" w:rsidRDefault="00D30958" w:rsidP="008305ED">
      <w:pPr>
        <w:spacing w:after="4" w:line="240" w:lineRule="auto"/>
        <w:ind w:left="-5" w:right="15"/>
        <w:jc w:val="left"/>
        <w:rPr>
          <w:rFonts w:asciiTheme="minorHAnsi" w:hAnsiTheme="minorHAnsi" w:cstheme="minorHAnsi"/>
          <w:sz w:val="22"/>
        </w:rPr>
      </w:pPr>
      <w:r w:rsidRPr="001F0ED9">
        <w:rPr>
          <w:rFonts w:asciiTheme="minorHAnsi" w:hAnsiTheme="minorHAnsi" w:cstheme="minorHAnsi"/>
          <w:sz w:val="22"/>
        </w:rPr>
        <w:t>The</w:t>
      </w:r>
      <w:r w:rsidRPr="001F0ED9">
        <w:rPr>
          <w:rFonts w:asciiTheme="minorHAnsi" w:hAnsiTheme="minorHAnsi" w:cstheme="minorHAnsi"/>
          <w:b/>
          <w:sz w:val="22"/>
        </w:rPr>
        <w:t xml:space="preserve"> </w:t>
      </w:r>
      <w:r w:rsidRPr="001F0ED9">
        <w:rPr>
          <w:rFonts w:asciiTheme="minorHAnsi" w:hAnsiTheme="minorHAnsi" w:cstheme="minorHAnsi"/>
          <w:sz w:val="22"/>
        </w:rPr>
        <w:t xml:space="preserve">School of Pharmacy, </w:t>
      </w:r>
      <w:r w:rsidR="004A7D8C">
        <w:rPr>
          <w:rFonts w:asciiTheme="minorHAnsi" w:hAnsiTheme="minorHAnsi" w:cstheme="minorHAnsi"/>
          <w:sz w:val="22"/>
        </w:rPr>
        <w:t>Memorial University</w:t>
      </w:r>
      <w:r w:rsidRPr="001F0ED9">
        <w:rPr>
          <w:rFonts w:asciiTheme="minorHAnsi" w:hAnsiTheme="minorHAnsi" w:cstheme="minorHAnsi"/>
          <w:sz w:val="22"/>
        </w:rPr>
        <w:t xml:space="preserve">, </w:t>
      </w:r>
      <w:r w:rsidR="004A7D8C" w:rsidRPr="001F0ED9">
        <w:rPr>
          <w:rFonts w:asciiTheme="minorHAnsi" w:hAnsiTheme="minorHAnsi" w:cstheme="minorHAnsi"/>
          <w:sz w:val="22"/>
        </w:rPr>
        <w:t>offer</w:t>
      </w:r>
      <w:r w:rsidR="004A7D8C">
        <w:rPr>
          <w:rFonts w:asciiTheme="minorHAnsi" w:hAnsiTheme="minorHAnsi" w:cstheme="minorHAnsi"/>
          <w:sz w:val="22"/>
        </w:rPr>
        <w:t>s</w:t>
      </w:r>
      <w:r w:rsidR="004A7D8C" w:rsidRPr="001F0ED9">
        <w:rPr>
          <w:rFonts w:asciiTheme="minorHAnsi" w:hAnsiTheme="minorHAnsi" w:cstheme="minorHAnsi"/>
          <w:sz w:val="22"/>
        </w:rPr>
        <w:t xml:space="preserve"> </w:t>
      </w:r>
      <w:r w:rsidRPr="001F0ED9">
        <w:rPr>
          <w:rFonts w:asciiTheme="minorHAnsi" w:hAnsiTheme="minorHAnsi" w:cstheme="minorHAnsi"/>
          <w:sz w:val="22"/>
        </w:rPr>
        <w:t xml:space="preserve">graduate programs at </w:t>
      </w:r>
      <w:r w:rsidR="004A7D8C">
        <w:rPr>
          <w:rFonts w:asciiTheme="minorHAnsi" w:hAnsiTheme="minorHAnsi" w:cstheme="minorHAnsi"/>
          <w:sz w:val="22"/>
        </w:rPr>
        <w:t xml:space="preserve">the </w:t>
      </w:r>
      <w:r w:rsidRPr="001F0ED9">
        <w:rPr>
          <w:rFonts w:asciiTheme="minorHAnsi" w:hAnsiTheme="minorHAnsi" w:cstheme="minorHAnsi"/>
          <w:sz w:val="22"/>
        </w:rPr>
        <w:t>MSc and PhD levels in th</w:t>
      </w:r>
      <w:r w:rsidR="004A7D8C">
        <w:rPr>
          <w:rFonts w:asciiTheme="minorHAnsi" w:hAnsiTheme="minorHAnsi" w:cstheme="minorHAnsi"/>
          <w:sz w:val="22"/>
        </w:rPr>
        <w:t>ree research streams</w:t>
      </w:r>
      <w:r w:rsidRPr="001F0ED9">
        <w:rPr>
          <w:rFonts w:asciiTheme="minorHAnsi" w:hAnsiTheme="minorHAnsi" w:cstheme="minorHAnsi"/>
          <w:sz w:val="22"/>
        </w:rPr>
        <w:t xml:space="preserve">:  </w:t>
      </w:r>
    </w:p>
    <w:p w14:paraId="52E8B683" w14:textId="77777777" w:rsidR="006E5D8F" w:rsidRPr="001F0ED9" w:rsidRDefault="00D30958" w:rsidP="008305ED">
      <w:pPr>
        <w:spacing w:after="23" w:line="240" w:lineRule="auto"/>
        <w:ind w:left="0" w:right="15" w:firstLine="0"/>
        <w:jc w:val="left"/>
        <w:rPr>
          <w:rFonts w:asciiTheme="minorHAnsi" w:hAnsiTheme="minorHAnsi" w:cstheme="minorHAnsi"/>
          <w:sz w:val="22"/>
        </w:rPr>
      </w:pPr>
      <w:r w:rsidRPr="001F0ED9">
        <w:rPr>
          <w:rFonts w:asciiTheme="minorHAnsi" w:hAnsiTheme="minorHAnsi" w:cstheme="minorHAnsi"/>
          <w:color w:val="323332"/>
          <w:sz w:val="22"/>
        </w:rPr>
        <w:t xml:space="preserve"> </w:t>
      </w:r>
    </w:p>
    <w:p w14:paraId="44AE97B5" w14:textId="77777777" w:rsidR="006E5D8F" w:rsidRPr="004444D8" w:rsidRDefault="00D30958" w:rsidP="008305ED">
      <w:pPr>
        <w:spacing w:after="5" w:line="240" w:lineRule="auto"/>
        <w:ind w:left="-5" w:right="15"/>
        <w:jc w:val="left"/>
        <w:rPr>
          <w:rFonts w:asciiTheme="minorHAnsi" w:hAnsiTheme="minorHAnsi" w:cstheme="minorHAnsi"/>
          <w:szCs w:val="24"/>
        </w:rPr>
      </w:pPr>
      <w:r w:rsidRPr="004444D8">
        <w:rPr>
          <w:rFonts w:asciiTheme="minorHAnsi" w:hAnsiTheme="minorHAnsi" w:cstheme="minorHAnsi"/>
          <w:b/>
          <w:szCs w:val="24"/>
        </w:rPr>
        <w:t xml:space="preserve">Drug Discovery and Delivery: </w:t>
      </w:r>
    </w:p>
    <w:p w14:paraId="78FEC59B" w14:textId="77777777" w:rsidR="006E5D8F" w:rsidRPr="001F0ED9" w:rsidRDefault="00D30958" w:rsidP="00111B69">
      <w:pPr>
        <w:numPr>
          <w:ilvl w:val="0"/>
          <w:numId w:val="19"/>
        </w:numPr>
        <w:spacing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Neuropharmacology / Mechanisms of Toxicity and Protection in Neurons </w:t>
      </w:r>
    </w:p>
    <w:p w14:paraId="60EFB6C1" w14:textId="77777777" w:rsidR="006E5D8F" w:rsidRPr="001F0ED9" w:rsidRDefault="00D30958" w:rsidP="00111B69">
      <w:pPr>
        <w:numPr>
          <w:ilvl w:val="0"/>
          <w:numId w:val="19"/>
        </w:numPr>
        <w:spacing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Cardiovascular Pharmacology-Pharmacokinetics / Mechanisms of  Cardiovascular dysfunction in Autoimmune Diseases </w:t>
      </w:r>
    </w:p>
    <w:p w14:paraId="6742F63C" w14:textId="77777777" w:rsidR="006E5D8F" w:rsidRPr="001F0ED9" w:rsidRDefault="00D30958" w:rsidP="00111B69">
      <w:pPr>
        <w:numPr>
          <w:ilvl w:val="0"/>
          <w:numId w:val="19"/>
        </w:numPr>
        <w:spacing w:after="0"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Computational Chemistry and Structural Biochemistry / Computer-aided Drug Design and High-Throughput Screening, Drug-Protein and Protein-Protein Complexations </w:t>
      </w:r>
    </w:p>
    <w:p w14:paraId="0EED39C3"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DCD98C6" w14:textId="77777777" w:rsidR="006E5D8F" w:rsidRPr="004444D8" w:rsidRDefault="00D30958" w:rsidP="008305ED">
      <w:pPr>
        <w:spacing w:after="5" w:line="240" w:lineRule="auto"/>
        <w:ind w:left="-5" w:right="15"/>
        <w:jc w:val="left"/>
        <w:rPr>
          <w:rFonts w:asciiTheme="minorHAnsi" w:hAnsiTheme="minorHAnsi" w:cstheme="minorHAnsi"/>
          <w:szCs w:val="24"/>
        </w:rPr>
      </w:pPr>
      <w:r w:rsidRPr="004444D8">
        <w:rPr>
          <w:rFonts w:asciiTheme="minorHAnsi" w:hAnsiTheme="minorHAnsi" w:cstheme="minorHAnsi"/>
          <w:b/>
          <w:szCs w:val="24"/>
        </w:rPr>
        <w:t xml:space="preserve">Health Outcomes: </w:t>
      </w:r>
    </w:p>
    <w:p w14:paraId="5955165E" w14:textId="480FBCAD" w:rsidR="004A7D8C" w:rsidRDefault="004A7D8C" w:rsidP="00DF6936">
      <w:pPr>
        <w:numPr>
          <w:ilvl w:val="0"/>
          <w:numId w:val="20"/>
        </w:numPr>
        <w:spacing w:line="240" w:lineRule="auto"/>
        <w:ind w:right="15" w:hanging="436"/>
        <w:jc w:val="left"/>
        <w:rPr>
          <w:rFonts w:asciiTheme="minorHAnsi" w:hAnsiTheme="minorHAnsi" w:cstheme="minorHAnsi"/>
          <w:sz w:val="22"/>
        </w:rPr>
      </w:pPr>
      <w:r>
        <w:rPr>
          <w:rFonts w:asciiTheme="minorHAnsi" w:hAnsiTheme="minorHAnsi" w:cstheme="minorHAnsi"/>
          <w:sz w:val="22"/>
        </w:rPr>
        <w:t>Health Economics</w:t>
      </w:r>
    </w:p>
    <w:p w14:paraId="136AC0D8" w14:textId="77777777" w:rsidR="006E5D8F" w:rsidRPr="001F0ED9" w:rsidRDefault="00D30958" w:rsidP="00DF6936">
      <w:pPr>
        <w:numPr>
          <w:ilvl w:val="0"/>
          <w:numId w:val="20"/>
        </w:numPr>
        <w:spacing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Pharmacoepidemiology / Pharmaceutical policy evaluation </w:t>
      </w:r>
    </w:p>
    <w:p w14:paraId="0174DAF1" w14:textId="77777777" w:rsidR="006E5D8F" w:rsidRPr="001F0ED9" w:rsidRDefault="00D30958" w:rsidP="00DF6936">
      <w:pPr>
        <w:numPr>
          <w:ilvl w:val="0"/>
          <w:numId w:val="20"/>
        </w:numPr>
        <w:spacing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Pharmacy Practice / Expanded Scope of Practice </w:t>
      </w:r>
    </w:p>
    <w:p w14:paraId="7AFFF310" w14:textId="77777777" w:rsidR="006E5D8F" w:rsidRPr="001F0ED9" w:rsidRDefault="00D30958" w:rsidP="00DF6936">
      <w:pPr>
        <w:numPr>
          <w:ilvl w:val="0"/>
          <w:numId w:val="20"/>
        </w:numPr>
        <w:spacing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Chronic Disease Outcomes (Adult and Childhood Obesity, HIV/AIDS, Respiratory Disease, Diabetes) </w:t>
      </w:r>
    </w:p>
    <w:p w14:paraId="481CB0C3" w14:textId="77777777" w:rsidR="006E5D8F" w:rsidRPr="001F0ED9" w:rsidRDefault="00D30958" w:rsidP="00DF6936">
      <w:pPr>
        <w:numPr>
          <w:ilvl w:val="0"/>
          <w:numId w:val="20"/>
        </w:numPr>
        <w:spacing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Utilization of Pharmacy Services and Other Health Services </w:t>
      </w:r>
    </w:p>
    <w:p w14:paraId="0FB60947" w14:textId="77777777" w:rsidR="006E5D8F" w:rsidRPr="001F0ED9" w:rsidRDefault="00D30958" w:rsidP="00DF6936">
      <w:pPr>
        <w:numPr>
          <w:ilvl w:val="0"/>
          <w:numId w:val="20"/>
        </w:numPr>
        <w:spacing w:line="240" w:lineRule="auto"/>
        <w:ind w:right="15" w:hanging="436"/>
        <w:jc w:val="left"/>
        <w:rPr>
          <w:rFonts w:asciiTheme="minorHAnsi" w:hAnsiTheme="minorHAnsi" w:cstheme="minorHAnsi"/>
          <w:sz w:val="22"/>
        </w:rPr>
      </w:pPr>
      <w:r w:rsidRPr="001F0ED9">
        <w:rPr>
          <w:rFonts w:asciiTheme="minorHAnsi" w:hAnsiTheme="minorHAnsi" w:cstheme="minorHAnsi"/>
          <w:sz w:val="22"/>
        </w:rPr>
        <w:t xml:space="preserve">Mental Health and Addictions, Community Based Participatory Research </w:t>
      </w:r>
    </w:p>
    <w:p w14:paraId="558E9380"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9BD83DE" w14:textId="77777777" w:rsidR="006E5D8F" w:rsidRPr="004444D8" w:rsidRDefault="00D30958" w:rsidP="008305ED">
      <w:pPr>
        <w:spacing w:after="5" w:line="240" w:lineRule="auto"/>
        <w:ind w:left="-5" w:right="15"/>
        <w:jc w:val="left"/>
        <w:rPr>
          <w:rFonts w:asciiTheme="minorHAnsi" w:hAnsiTheme="minorHAnsi" w:cstheme="minorHAnsi"/>
          <w:szCs w:val="24"/>
        </w:rPr>
      </w:pPr>
      <w:r w:rsidRPr="004444D8">
        <w:rPr>
          <w:rFonts w:asciiTheme="minorHAnsi" w:hAnsiTheme="minorHAnsi" w:cstheme="minorHAnsi"/>
          <w:b/>
          <w:szCs w:val="24"/>
        </w:rPr>
        <w:t xml:space="preserve">The Scholarship of Teaching and Learning: </w:t>
      </w:r>
    </w:p>
    <w:p w14:paraId="5678CAD7" w14:textId="77777777" w:rsidR="006E5D8F" w:rsidRPr="001F0ED9" w:rsidRDefault="00D30958" w:rsidP="00DF6936">
      <w:pPr>
        <w:numPr>
          <w:ilvl w:val="0"/>
          <w:numId w:val="21"/>
        </w:numPr>
        <w:spacing w:line="240" w:lineRule="auto"/>
        <w:ind w:right="15" w:hanging="420"/>
        <w:jc w:val="left"/>
        <w:rPr>
          <w:rFonts w:asciiTheme="minorHAnsi" w:hAnsiTheme="minorHAnsi" w:cstheme="minorHAnsi"/>
          <w:sz w:val="22"/>
        </w:rPr>
      </w:pPr>
      <w:r w:rsidRPr="001F0ED9">
        <w:rPr>
          <w:rFonts w:asciiTheme="minorHAnsi" w:hAnsiTheme="minorHAnsi" w:cstheme="minorHAnsi"/>
          <w:sz w:val="22"/>
        </w:rPr>
        <w:t xml:space="preserve">Interprofessional Practice and Education </w:t>
      </w:r>
    </w:p>
    <w:p w14:paraId="730A8939" w14:textId="77777777" w:rsidR="006E5D8F" w:rsidRPr="001F0ED9" w:rsidRDefault="00D30958" w:rsidP="00DF6936">
      <w:pPr>
        <w:numPr>
          <w:ilvl w:val="0"/>
          <w:numId w:val="21"/>
        </w:numPr>
        <w:spacing w:line="240" w:lineRule="auto"/>
        <w:ind w:right="15" w:hanging="420"/>
        <w:jc w:val="left"/>
        <w:rPr>
          <w:rFonts w:asciiTheme="minorHAnsi" w:hAnsiTheme="minorHAnsi" w:cstheme="minorHAnsi"/>
          <w:sz w:val="22"/>
        </w:rPr>
      </w:pPr>
      <w:r w:rsidRPr="001F0ED9">
        <w:rPr>
          <w:rFonts w:asciiTheme="minorHAnsi" w:hAnsiTheme="minorHAnsi" w:cstheme="minorHAnsi"/>
          <w:sz w:val="22"/>
        </w:rPr>
        <w:t xml:space="preserve">Student Learning </w:t>
      </w:r>
    </w:p>
    <w:p w14:paraId="763F37DB" w14:textId="77777777" w:rsidR="006E5D8F" w:rsidRPr="001F0ED9" w:rsidRDefault="00D30958" w:rsidP="00DF6936">
      <w:pPr>
        <w:numPr>
          <w:ilvl w:val="0"/>
          <w:numId w:val="21"/>
        </w:numPr>
        <w:spacing w:line="240" w:lineRule="auto"/>
        <w:ind w:right="15" w:hanging="420"/>
        <w:jc w:val="left"/>
        <w:rPr>
          <w:rFonts w:asciiTheme="minorHAnsi" w:hAnsiTheme="minorHAnsi" w:cstheme="minorHAnsi"/>
          <w:sz w:val="22"/>
        </w:rPr>
      </w:pPr>
      <w:r w:rsidRPr="001F0ED9">
        <w:rPr>
          <w:rFonts w:asciiTheme="minorHAnsi" w:hAnsiTheme="minorHAnsi" w:cstheme="minorHAnsi"/>
          <w:sz w:val="22"/>
        </w:rPr>
        <w:t xml:space="preserve">Curriculum Development and Assessment </w:t>
      </w:r>
    </w:p>
    <w:p w14:paraId="724EB8FA"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511B48BA" w14:textId="37076991" w:rsidR="006E5D8F" w:rsidRPr="001F0ED9" w:rsidRDefault="00D30958" w:rsidP="008305ED">
      <w:pPr>
        <w:spacing w:after="4" w:line="240" w:lineRule="auto"/>
        <w:ind w:left="-5" w:right="15"/>
        <w:jc w:val="left"/>
        <w:rPr>
          <w:rFonts w:asciiTheme="minorHAnsi" w:hAnsiTheme="minorHAnsi" w:cstheme="minorHAnsi"/>
          <w:sz w:val="22"/>
        </w:rPr>
      </w:pPr>
      <w:r w:rsidRPr="001F0ED9">
        <w:rPr>
          <w:rFonts w:asciiTheme="minorHAnsi" w:hAnsiTheme="minorHAnsi" w:cstheme="minorHAnsi"/>
          <w:sz w:val="22"/>
        </w:rPr>
        <w:t xml:space="preserve">Admission to one of these three major research </w:t>
      </w:r>
      <w:r w:rsidR="004A7D8C">
        <w:rPr>
          <w:rFonts w:asciiTheme="minorHAnsi" w:hAnsiTheme="minorHAnsi" w:cstheme="minorHAnsi"/>
          <w:sz w:val="22"/>
        </w:rPr>
        <w:t>streams</w:t>
      </w:r>
      <w:r w:rsidR="004A7D8C" w:rsidRPr="001F0ED9">
        <w:rPr>
          <w:rFonts w:asciiTheme="minorHAnsi" w:hAnsiTheme="minorHAnsi" w:cstheme="minorHAnsi"/>
          <w:sz w:val="22"/>
        </w:rPr>
        <w:t xml:space="preserve"> </w:t>
      </w:r>
      <w:r w:rsidRPr="001F0ED9">
        <w:rPr>
          <w:rFonts w:asciiTheme="minorHAnsi" w:hAnsiTheme="minorHAnsi" w:cstheme="minorHAnsi"/>
          <w:sz w:val="22"/>
        </w:rPr>
        <w:t>follows the general admission processes according to the School of Graduate Studies (</w:t>
      </w:r>
      <w:r w:rsidRPr="001F0ED9">
        <w:rPr>
          <w:rFonts w:asciiTheme="minorHAnsi" w:hAnsiTheme="minorHAnsi" w:cstheme="minorHAnsi"/>
          <w:color w:val="0000FF"/>
          <w:sz w:val="22"/>
          <w:u w:val="single" w:color="0000FF"/>
        </w:rPr>
        <w:t>www.mun.ca/sgs</w:t>
      </w:r>
      <w:r w:rsidRPr="001F0ED9">
        <w:rPr>
          <w:rFonts w:asciiTheme="minorHAnsi" w:hAnsiTheme="minorHAnsi" w:cstheme="minorHAnsi"/>
          <w:sz w:val="22"/>
        </w:rPr>
        <w:t xml:space="preserve">). The following flow chart describes the detailed procedure followed by the School of Pharmacy. </w:t>
      </w:r>
    </w:p>
    <w:p w14:paraId="1EC1F5CB" w14:textId="77777777" w:rsidR="00E5721F"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11FF27A5" w14:textId="77777777" w:rsidR="00E5721F" w:rsidRDefault="00E5721F" w:rsidP="008305ED">
      <w:pPr>
        <w:spacing w:after="160" w:line="240" w:lineRule="auto"/>
        <w:ind w:left="0" w:right="15" w:firstLine="0"/>
        <w:jc w:val="left"/>
        <w:rPr>
          <w:rFonts w:asciiTheme="minorHAnsi" w:hAnsiTheme="minorHAnsi" w:cstheme="minorHAnsi"/>
          <w:sz w:val="22"/>
        </w:rPr>
      </w:pPr>
      <w:r>
        <w:rPr>
          <w:rFonts w:asciiTheme="minorHAnsi" w:hAnsiTheme="minorHAnsi" w:cstheme="minorHAnsi"/>
          <w:sz w:val="22"/>
        </w:rPr>
        <w:br w:type="page"/>
      </w:r>
    </w:p>
    <w:p w14:paraId="1DE43523" w14:textId="1DD2D6ED" w:rsidR="00AB21E8" w:rsidRPr="00107C58" w:rsidRDefault="00AB21E8" w:rsidP="008305ED">
      <w:pPr>
        <w:pStyle w:val="Heading1"/>
        <w:spacing w:line="240" w:lineRule="auto"/>
        <w:ind w:left="0" w:right="15"/>
        <w:rPr>
          <w:rFonts w:asciiTheme="minorHAnsi" w:hAnsiTheme="minorHAnsi" w:cstheme="minorHAnsi"/>
          <w:sz w:val="28"/>
          <w:szCs w:val="28"/>
        </w:rPr>
      </w:pPr>
      <w:bookmarkStart w:id="13" w:name="_Toc111554541"/>
      <w:r w:rsidRPr="00107C58">
        <w:rPr>
          <w:rFonts w:asciiTheme="minorHAnsi" w:hAnsiTheme="minorHAnsi" w:cstheme="minorHAnsi"/>
          <w:sz w:val="28"/>
          <w:szCs w:val="28"/>
        </w:rPr>
        <w:lastRenderedPageBreak/>
        <w:t>APPENDIX B</w:t>
      </w:r>
      <w:bookmarkEnd w:id="13"/>
    </w:p>
    <w:p w14:paraId="515BBD57" w14:textId="4E231635" w:rsidR="006E5D8F" w:rsidRPr="00AB21E8" w:rsidRDefault="00C94D90" w:rsidP="008305ED">
      <w:pPr>
        <w:spacing w:after="0" w:line="240" w:lineRule="auto"/>
        <w:ind w:right="15" w:firstLine="0"/>
        <w:rPr>
          <w:rFonts w:asciiTheme="minorHAnsi" w:hAnsiTheme="minorHAnsi" w:cstheme="minorHAnsi"/>
          <w:sz w:val="22"/>
        </w:rPr>
      </w:pPr>
      <w:r>
        <w:rPr>
          <w:rFonts w:asciiTheme="minorHAnsi" w:hAnsiTheme="minorHAnsi" w:cstheme="minorHAnsi"/>
          <w:sz w:val="28"/>
          <w:szCs w:val="28"/>
        </w:rPr>
        <w:t>Pharmacy Research</w:t>
      </w:r>
      <w:r w:rsidRPr="00E5721F">
        <w:rPr>
          <w:rFonts w:asciiTheme="minorHAnsi" w:hAnsiTheme="minorHAnsi" w:cstheme="minorHAnsi"/>
          <w:sz w:val="28"/>
          <w:szCs w:val="28"/>
        </w:rPr>
        <w:t xml:space="preserve"> </w:t>
      </w:r>
      <w:r w:rsidR="00D30958" w:rsidRPr="00E5721F">
        <w:rPr>
          <w:rFonts w:asciiTheme="minorHAnsi" w:hAnsiTheme="minorHAnsi" w:cstheme="minorHAnsi"/>
          <w:sz w:val="28"/>
          <w:szCs w:val="28"/>
        </w:rPr>
        <w:t>Seminar Evaluation Form</w:t>
      </w:r>
    </w:p>
    <w:p w14:paraId="477B81F4"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68355530" w14:textId="77777777" w:rsidR="006E5D8F" w:rsidRPr="00AB21E8" w:rsidRDefault="00D30958" w:rsidP="008305ED">
      <w:pPr>
        <w:spacing w:line="240" w:lineRule="auto"/>
        <w:ind w:left="-5" w:right="15"/>
        <w:rPr>
          <w:rFonts w:asciiTheme="minorHAnsi" w:hAnsiTheme="minorHAnsi" w:cstheme="minorHAnsi"/>
          <w:b/>
          <w:bCs/>
          <w:sz w:val="22"/>
        </w:rPr>
      </w:pPr>
      <w:r w:rsidRPr="00AB21E8">
        <w:rPr>
          <w:rFonts w:asciiTheme="minorHAnsi" w:hAnsiTheme="minorHAnsi" w:cstheme="minorHAnsi"/>
          <w:b/>
          <w:bCs/>
          <w:sz w:val="22"/>
        </w:rPr>
        <w:t xml:space="preserve">Speaker:  </w:t>
      </w:r>
    </w:p>
    <w:p w14:paraId="611213B0" w14:textId="77777777" w:rsidR="006E5D8F" w:rsidRPr="00AB21E8" w:rsidRDefault="00D30958" w:rsidP="008305ED">
      <w:pPr>
        <w:spacing w:line="240" w:lineRule="auto"/>
        <w:ind w:left="-5" w:right="15"/>
        <w:rPr>
          <w:rFonts w:asciiTheme="minorHAnsi" w:hAnsiTheme="minorHAnsi" w:cstheme="minorHAnsi"/>
          <w:b/>
          <w:bCs/>
          <w:sz w:val="22"/>
        </w:rPr>
      </w:pPr>
      <w:r w:rsidRPr="00AB21E8">
        <w:rPr>
          <w:rFonts w:asciiTheme="minorHAnsi" w:hAnsiTheme="minorHAnsi" w:cstheme="minorHAnsi"/>
          <w:b/>
          <w:bCs/>
          <w:sz w:val="22"/>
        </w:rPr>
        <w:t xml:space="preserve">Date:  </w:t>
      </w:r>
    </w:p>
    <w:p w14:paraId="0D8A2D71" w14:textId="77777777" w:rsidR="006E5D8F" w:rsidRPr="00AB21E8" w:rsidRDefault="00D30958" w:rsidP="008305ED">
      <w:pPr>
        <w:spacing w:after="62" w:line="240" w:lineRule="auto"/>
        <w:ind w:left="-5" w:right="15"/>
        <w:rPr>
          <w:rFonts w:asciiTheme="minorHAnsi" w:hAnsiTheme="minorHAnsi" w:cstheme="minorHAnsi"/>
          <w:b/>
          <w:bCs/>
          <w:sz w:val="22"/>
        </w:rPr>
      </w:pPr>
      <w:r w:rsidRPr="00AB21E8">
        <w:rPr>
          <w:rFonts w:asciiTheme="minorHAnsi" w:hAnsiTheme="minorHAnsi" w:cstheme="minorHAnsi"/>
          <w:b/>
          <w:bCs/>
          <w:sz w:val="22"/>
        </w:rPr>
        <w:t xml:space="preserve">Title: </w:t>
      </w:r>
    </w:p>
    <w:p w14:paraId="08FE0E1D"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15701BA5" w14:textId="0CDA7089" w:rsidR="006E5D8F" w:rsidRPr="001F0ED9" w:rsidRDefault="00D30958" w:rsidP="008305ED">
      <w:pPr>
        <w:spacing w:line="240" w:lineRule="auto"/>
        <w:ind w:left="-5" w:right="15"/>
        <w:jc w:val="left"/>
        <w:rPr>
          <w:rFonts w:asciiTheme="minorHAnsi" w:hAnsiTheme="minorHAnsi" w:cstheme="minorHAnsi"/>
          <w:sz w:val="22"/>
        </w:rPr>
      </w:pPr>
      <w:r w:rsidRPr="001F0ED9">
        <w:rPr>
          <w:rFonts w:asciiTheme="minorHAnsi" w:hAnsiTheme="minorHAnsi" w:cstheme="minorHAnsi"/>
          <w:sz w:val="22"/>
        </w:rPr>
        <w:t>Please circle the number that best describes your overall assessment for each of the categories listed below.</w:t>
      </w:r>
      <w:r w:rsidR="00E61784">
        <w:rPr>
          <w:rFonts w:asciiTheme="minorHAnsi" w:hAnsiTheme="minorHAnsi" w:cstheme="minorHAnsi"/>
          <w:sz w:val="22"/>
        </w:rPr>
        <w:t xml:space="preserve"> </w:t>
      </w:r>
      <w:r w:rsidRPr="001F0ED9">
        <w:rPr>
          <w:rFonts w:asciiTheme="minorHAnsi" w:hAnsiTheme="minorHAnsi" w:cstheme="minorHAnsi"/>
          <w:sz w:val="22"/>
        </w:rPr>
        <w:t xml:space="preserve"> Please also provide your comments on the strength and weakness of the presentation at the bottom of this page as well as your recommendation.  </w:t>
      </w:r>
    </w:p>
    <w:p w14:paraId="08E149C2"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45D74F86" w14:textId="07951A98" w:rsidR="006E5D8F" w:rsidRPr="001F0ED9" w:rsidRDefault="008059C4" w:rsidP="008305ED">
      <w:pPr>
        <w:spacing w:line="240" w:lineRule="auto"/>
        <w:ind w:left="5755" w:right="15" w:firstLine="5"/>
        <w:rPr>
          <w:rFonts w:asciiTheme="minorHAnsi" w:hAnsiTheme="minorHAnsi" w:cstheme="minorHAnsi"/>
          <w:sz w:val="22"/>
        </w:rPr>
      </w:pPr>
      <w:r>
        <w:rPr>
          <w:rFonts w:asciiTheme="minorHAnsi" w:hAnsiTheme="minorHAnsi" w:cstheme="minorHAnsi"/>
          <w:sz w:val="22"/>
        </w:rPr>
        <w:t xml:space="preserve">     </w:t>
      </w:r>
      <w:r w:rsidR="00FC474D">
        <w:rPr>
          <w:rFonts w:asciiTheme="minorHAnsi" w:hAnsiTheme="minorHAnsi" w:cstheme="minorHAnsi"/>
          <w:sz w:val="22"/>
        </w:rPr>
        <w:t xml:space="preserve"> </w:t>
      </w:r>
      <w:r w:rsidR="00D30958" w:rsidRPr="001F0ED9">
        <w:rPr>
          <w:rFonts w:asciiTheme="minorHAnsi" w:hAnsiTheme="minorHAnsi" w:cstheme="minorHAnsi"/>
          <w:sz w:val="22"/>
        </w:rPr>
        <w:t>Lowest</w:t>
      </w:r>
      <w:r>
        <w:rPr>
          <w:rFonts w:asciiTheme="minorHAnsi" w:hAnsiTheme="minorHAnsi" w:cstheme="minorHAnsi"/>
          <w:sz w:val="22"/>
        </w:rPr>
        <w:tab/>
      </w:r>
      <w:r>
        <w:rPr>
          <w:rFonts w:asciiTheme="minorHAnsi" w:hAnsiTheme="minorHAnsi" w:cstheme="minorHAnsi"/>
          <w:sz w:val="22"/>
        </w:rPr>
        <w:tab/>
      </w:r>
      <w:r w:rsidR="001E3E3B">
        <w:rPr>
          <w:rFonts w:asciiTheme="minorHAnsi" w:hAnsiTheme="minorHAnsi" w:cstheme="minorHAnsi"/>
          <w:sz w:val="22"/>
        </w:rPr>
        <w:t xml:space="preserve">                             </w:t>
      </w:r>
      <w:r w:rsidR="00D30958" w:rsidRPr="001F0ED9">
        <w:rPr>
          <w:rFonts w:asciiTheme="minorHAnsi" w:hAnsiTheme="minorHAnsi" w:cstheme="minorHAnsi"/>
          <w:sz w:val="22"/>
        </w:rPr>
        <w:t xml:space="preserve">Highest                     </w:t>
      </w:r>
    </w:p>
    <w:tbl>
      <w:tblPr>
        <w:tblStyle w:val="TableGrid"/>
        <w:tblW w:w="10170" w:type="dxa"/>
        <w:tblInd w:w="-110" w:type="dxa"/>
        <w:tblCellMar>
          <w:top w:w="12" w:type="dxa"/>
          <w:left w:w="106" w:type="dxa"/>
          <w:right w:w="115" w:type="dxa"/>
        </w:tblCellMar>
        <w:tblLook w:val="04A0" w:firstRow="1" w:lastRow="0" w:firstColumn="1" w:lastColumn="0" w:noHBand="0" w:noVBand="1"/>
      </w:tblPr>
      <w:tblGrid>
        <w:gridCol w:w="6115"/>
        <w:gridCol w:w="794"/>
        <w:gridCol w:w="851"/>
        <w:gridCol w:w="850"/>
        <w:gridCol w:w="851"/>
        <w:gridCol w:w="709"/>
      </w:tblGrid>
      <w:tr w:rsidR="006E5D8F" w:rsidRPr="001F0ED9" w14:paraId="02B88279" w14:textId="77777777" w:rsidTr="001E3E3B">
        <w:trPr>
          <w:trHeight w:val="700"/>
        </w:trPr>
        <w:tc>
          <w:tcPr>
            <w:tcW w:w="6115" w:type="dxa"/>
            <w:tcBorders>
              <w:top w:val="single" w:sz="4" w:space="0" w:color="000000"/>
              <w:left w:val="single" w:sz="4" w:space="0" w:color="000000"/>
              <w:bottom w:val="single" w:sz="4" w:space="0" w:color="000000"/>
              <w:right w:val="single" w:sz="4" w:space="0" w:color="000000"/>
            </w:tcBorders>
          </w:tcPr>
          <w:p w14:paraId="70129C6C" w14:textId="77777777" w:rsidR="006E5D8F" w:rsidRPr="001F0ED9" w:rsidRDefault="00D30958" w:rsidP="008305ED">
            <w:pPr>
              <w:spacing w:after="0" w:line="240" w:lineRule="auto"/>
              <w:ind w:left="5" w:right="15" w:firstLine="0"/>
              <w:jc w:val="left"/>
              <w:rPr>
                <w:rFonts w:asciiTheme="minorHAnsi" w:hAnsiTheme="minorHAnsi" w:cstheme="minorHAnsi"/>
                <w:sz w:val="22"/>
              </w:rPr>
            </w:pPr>
            <w:r w:rsidRPr="001F0ED9">
              <w:rPr>
                <w:rFonts w:asciiTheme="minorHAnsi" w:hAnsiTheme="minorHAnsi" w:cstheme="minorHAnsi"/>
                <w:b/>
                <w:sz w:val="22"/>
              </w:rPr>
              <w:t>Content</w:t>
            </w:r>
            <w:r w:rsidRPr="00FC474D">
              <w:rPr>
                <w:rFonts w:asciiTheme="minorHAnsi" w:hAnsiTheme="minorHAnsi" w:cstheme="minorHAnsi"/>
                <w:b/>
                <w:bCs/>
                <w:sz w:val="22"/>
              </w:rPr>
              <w:t>:</w:t>
            </w:r>
            <w:r w:rsidRPr="001F0ED9">
              <w:rPr>
                <w:rFonts w:asciiTheme="minorHAnsi" w:hAnsiTheme="minorHAnsi" w:cstheme="minorHAnsi"/>
                <w:sz w:val="22"/>
              </w:rPr>
              <w:t xml:space="preserve"> Clear, credible, and well organized with attention focused on key concepts and interesting data. </w:t>
            </w:r>
          </w:p>
        </w:tc>
        <w:tc>
          <w:tcPr>
            <w:tcW w:w="794" w:type="dxa"/>
            <w:tcBorders>
              <w:top w:val="single" w:sz="4" w:space="0" w:color="000000"/>
              <w:left w:val="single" w:sz="4" w:space="0" w:color="000000"/>
              <w:bottom w:val="single" w:sz="4" w:space="0" w:color="000000"/>
              <w:right w:val="single" w:sz="4" w:space="0" w:color="000000"/>
            </w:tcBorders>
          </w:tcPr>
          <w:p w14:paraId="1507C5C9" w14:textId="1F423450"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1</w:t>
            </w:r>
          </w:p>
        </w:tc>
        <w:tc>
          <w:tcPr>
            <w:tcW w:w="851" w:type="dxa"/>
            <w:tcBorders>
              <w:top w:val="single" w:sz="4" w:space="0" w:color="000000"/>
              <w:left w:val="single" w:sz="4" w:space="0" w:color="000000"/>
              <w:bottom w:val="single" w:sz="4" w:space="0" w:color="000000"/>
              <w:right w:val="single" w:sz="4" w:space="0" w:color="000000"/>
            </w:tcBorders>
          </w:tcPr>
          <w:p w14:paraId="663B6EE2" w14:textId="4E921595"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2</w:t>
            </w:r>
          </w:p>
        </w:tc>
        <w:tc>
          <w:tcPr>
            <w:tcW w:w="850" w:type="dxa"/>
            <w:tcBorders>
              <w:top w:val="single" w:sz="4" w:space="0" w:color="000000"/>
              <w:left w:val="single" w:sz="4" w:space="0" w:color="000000"/>
              <w:bottom w:val="single" w:sz="4" w:space="0" w:color="000000"/>
              <w:right w:val="single" w:sz="4" w:space="0" w:color="000000"/>
            </w:tcBorders>
          </w:tcPr>
          <w:p w14:paraId="1119BD27" w14:textId="5552E3CC"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3</w:t>
            </w:r>
          </w:p>
        </w:tc>
        <w:tc>
          <w:tcPr>
            <w:tcW w:w="851" w:type="dxa"/>
            <w:tcBorders>
              <w:top w:val="single" w:sz="4" w:space="0" w:color="000000"/>
              <w:left w:val="single" w:sz="4" w:space="0" w:color="000000"/>
              <w:bottom w:val="single" w:sz="4" w:space="0" w:color="000000"/>
              <w:right w:val="single" w:sz="4" w:space="0" w:color="000000"/>
            </w:tcBorders>
          </w:tcPr>
          <w:p w14:paraId="237A4DF9" w14:textId="67F9EDD0"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4</w:t>
            </w:r>
          </w:p>
        </w:tc>
        <w:tc>
          <w:tcPr>
            <w:tcW w:w="709" w:type="dxa"/>
            <w:tcBorders>
              <w:top w:val="single" w:sz="4" w:space="0" w:color="000000"/>
              <w:left w:val="single" w:sz="4" w:space="0" w:color="000000"/>
              <w:bottom w:val="single" w:sz="4" w:space="0" w:color="000000"/>
              <w:right w:val="single" w:sz="4" w:space="0" w:color="000000"/>
            </w:tcBorders>
          </w:tcPr>
          <w:p w14:paraId="260E03E7" w14:textId="7A252332"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5</w:t>
            </w:r>
          </w:p>
        </w:tc>
      </w:tr>
      <w:tr w:rsidR="006E5D8F" w:rsidRPr="001F0ED9" w14:paraId="56F94036" w14:textId="77777777" w:rsidTr="001E3E3B">
        <w:trPr>
          <w:trHeight w:val="666"/>
        </w:trPr>
        <w:tc>
          <w:tcPr>
            <w:tcW w:w="6115" w:type="dxa"/>
            <w:tcBorders>
              <w:top w:val="single" w:sz="4" w:space="0" w:color="000000"/>
              <w:left w:val="single" w:sz="4" w:space="0" w:color="000000"/>
              <w:bottom w:val="single" w:sz="4" w:space="0" w:color="000000"/>
              <w:right w:val="single" w:sz="4" w:space="0" w:color="000000"/>
            </w:tcBorders>
          </w:tcPr>
          <w:p w14:paraId="7B720F5B" w14:textId="478A3665" w:rsidR="006E5D8F" w:rsidRPr="001F0ED9" w:rsidRDefault="00D30958" w:rsidP="008305ED">
            <w:pPr>
              <w:spacing w:after="0" w:line="240" w:lineRule="auto"/>
              <w:ind w:left="5" w:right="15" w:firstLine="0"/>
              <w:jc w:val="left"/>
              <w:rPr>
                <w:rFonts w:asciiTheme="minorHAnsi" w:hAnsiTheme="minorHAnsi" w:cstheme="minorHAnsi"/>
                <w:sz w:val="22"/>
              </w:rPr>
            </w:pPr>
            <w:r w:rsidRPr="001F0ED9">
              <w:rPr>
                <w:rFonts w:asciiTheme="minorHAnsi" w:hAnsiTheme="minorHAnsi" w:cstheme="minorHAnsi"/>
                <w:b/>
                <w:sz w:val="22"/>
              </w:rPr>
              <w:t>Delivery Style</w:t>
            </w:r>
            <w:r w:rsidR="00FC474D" w:rsidRPr="00FC474D">
              <w:rPr>
                <w:rFonts w:asciiTheme="minorHAnsi" w:hAnsiTheme="minorHAnsi" w:cstheme="minorHAnsi"/>
                <w:b/>
                <w:bCs/>
                <w:sz w:val="22"/>
              </w:rPr>
              <w:t>:</w:t>
            </w:r>
            <w:r w:rsidRPr="001F0ED9">
              <w:rPr>
                <w:rFonts w:asciiTheme="minorHAnsi" w:hAnsiTheme="minorHAnsi" w:cstheme="minorHAnsi"/>
                <w:sz w:val="22"/>
              </w:rPr>
              <w:t xml:space="preserve"> Presentation delivered in a poised and professional manner, eye contact and interaction with audience. </w:t>
            </w:r>
          </w:p>
        </w:tc>
        <w:tc>
          <w:tcPr>
            <w:tcW w:w="794" w:type="dxa"/>
            <w:tcBorders>
              <w:top w:val="single" w:sz="4" w:space="0" w:color="000000"/>
              <w:left w:val="single" w:sz="4" w:space="0" w:color="000000"/>
              <w:bottom w:val="single" w:sz="4" w:space="0" w:color="000000"/>
              <w:right w:val="single" w:sz="4" w:space="0" w:color="000000"/>
            </w:tcBorders>
          </w:tcPr>
          <w:p w14:paraId="61C40720" w14:textId="49DDB0B6"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1</w:t>
            </w:r>
          </w:p>
        </w:tc>
        <w:tc>
          <w:tcPr>
            <w:tcW w:w="851" w:type="dxa"/>
            <w:tcBorders>
              <w:top w:val="single" w:sz="4" w:space="0" w:color="000000"/>
              <w:left w:val="single" w:sz="4" w:space="0" w:color="000000"/>
              <w:bottom w:val="single" w:sz="4" w:space="0" w:color="000000"/>
              <w:right w:val="single" w:sz="4" w:space="0" w:color="000000"/>
            </w:tcBorders>
          </w:tcPr>
          <w:p w14:paraId="38524B24" w14:textId="7DC41ECF"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2</w:t>
            </w:r>
          </w:p>
        </w:tc>
        <w:tc>
          <w:tcPr>
            <w:tcW w:w="850" w:type="dxa"/>
            <w:tcBorders>
              <w:top w:val="single" w:sz="4" w:space="0" w:color="000000"/>
              <w:left w:val="single" w:sz="4" w:space="0" w:color="000000"/>
              <w:bottom w:val="single" w:sz="4" w:space="0" w:color="000000"/>
              <w:right w:val="single" w:sz="4" w:space="0" w:color="000000"/>
            </w:tcBorders>
          </w:tcPr>
          <w:p w14:paraId="481968DD" w14:textId="67DEEFE5"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3</w:t>
            </w:r>
          </w:p>
        </w:tc>
        <w:tc>
          <w:tcPr>
            <w:tcW w:w="851" w:type="dxa"/>
            <w:tcBorders>
              <w:top w:val="single" w:sz="4" w:space="0" w:color="000000"/>
              <w:left w:val="single" w:sz="4" w:space="0" w:color="000000"/>
              <w:bottom w:val="single" w:sz="4" w:space="0" w:color="000000"/>
              <w:right w:val="single" w:sz="4" w:space="0" w:color="000000"/>
            </w:tcBorders>
          </w:tcPr>
          <w:p w14:paraId="11D8B663" w14:textId="6EA61867"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4</w:t>
            </w:r>
          </w:p>
        </w:tc>
        <w:tc>
          <w:tcPr>
            <w:tcW w:w="709" w:type="dxa"/>
            <w:tcBorders>
              <w:top w:val="single" w:sz="4" w:space="0" w:color="000000"/>
              <w:left w:val="single" w:sz="4" w:space="0" w:color="000000"/>
              <w:bottom w:val="single" w:sz="4" w:space="0" w:color="000000"/>
              <w:right w:val="single" w:sz="4" w:space="0" w:color="000000"/>
            </w:tcBorders>
          </w:tcPr>
          <w:p w14:paraId="41D9AE1C" w14:textId="75031D0D"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5</w:t>
            </w:r>
          </w:p>
        </w:tc>
      </w:tr>
      <w:tr w:rsidR="006E5D8F" w:rsidRPr="001F0ED9" w14:paraId="5E3BC6CB" w14:textId="77777777" w:rsidTr="001E3E3B">
        <w:trPr>
          <w:trHeight w:val="651"/>
        </w:trPr>
        <w:tc>
          <w:tcPr>
            <w:tcW w:w="6115" w:type="dxa"/>
            <w:tcBorders>
              <w:top w:val="single" w:sz="4" w:space="0" w:color="000000"/>
              <w:left w:val="single" w:sz="4" w:space="0" w:color="000000"/>
              <w:bottom w:val="single" w:sz="4" w:space="0" w:color="000000"/>
              <w:right w:val="single" w:sz="4" w:space="0" w:color="000000"/>
            </w:tcBorders>
          </w:tcPr>
          <w:p w14:paraId="332141DE" w14:textId="1B80804C" w:rsidR="006E5D8F" w:rsidRPr="001F0ED9" w:rsidRDefault="00D30958" w:rsidP="008305ED">
            <w:pPr>
              <w:spacing w:after="0" w:line="240" w:lineRule="auto"/>
              <w:ind w:left="5" w:right="15" w:firstLine="0"/>
              <w:jc w:val="left"/>
              <w:rPr>
                <w:rFonts w:asciiTheme="minorHAnsi" w:hAnsiTheme="minorHAnsi" w:cstheme="minorHAnsi"/>
                <w:sz w:val="22"/>
              </w:rPr>
            </w:pPr>
            <w:r w:rsidRPr="001F0ED9">
              <w:rPr>
                <w:rFonts w:asciiTheme="minorHAnsi" w:hAnsiTheme="minorHAnsi" w:cstheme="minorHAnsi"/>
                <w:b/>
                <w:sz w:val="22"/>
              </w:rPr>
              <w:t>Presentation Media</w:t>
            </w:r>
            <w:r w:rsidR="00FC474D" w:rsidRPr="00FC474D">
              <w:rPr>
                <w:rFonts w:asciiTheme="minorHAnsi" w:hAnsiTheme="minorHAnsi" w:cstheme="minorHAnsi"/>
                <w:b/>
                <w:bCs/>
                <w:sz w:val="22"/>
              </w:rPr>
              <w:t>:</w:t>
            </w:r>
            <w:r w:rsidRPr="001F0ED9">
              <w:rPr>
                <w:rFonts w:asciiTheme="minorHAnsi" w:hAnsiTheme="minorHAnsi" w:cstheme="minorHAnsi"/>
                <w:sz w:val="22"/>
              </w:rPr>
              <w:t xml:space="preserve"> Clear, well organized, readable, visually appealing, and used effectively to direct audience attention. </w:t>
            </w:r>
          </w:p>
        </w:tc>
        <w:tc>
          <w:tcPr>
            <w:tcW w:w="794" w:type="dxa"/>
            <w:tcBorders>
              <w:top w:val="single" w:sz="4" w:space="0" w:color="000000"/>
              <w:left w:val="single" w:sz="4" w:space="0" w:color="000000"/>
              <w:bottom w:val="single" w:sz="4" w:space="0" w:color="000000"/>
              <w:right w:val="single" w:sz="4" w:space="0" w:color="000000"/>
            </w:tcBorders>
          </w:tcPr>
          <w:p w14:paraId="1DE8AADB" w14:textId="58D1132D"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1</w:t>
            </w:r>
          </w:p>
        </w:tc>
        <w:tc>
          <w:tcPr>
            <w:tcW w:w="851" w:type="dxa"/>
            <w:tcBorders>
              <w:top w:val="single" w:sz="4" w:space="0" w:color="000000"/>
              <w:left w:val="single" w:sz="4" w:space="0" w:color="000000"/>
              <w:bottom w:val="single" w:sz="4" w:space="0" w:color="000000"/>
              <w:right w:val="single" w:sz="4" w:space="0" w:color="000000"/>
            </w:tcBorders>
          </w:tcPr>
          <w:p w14:paraId="01EF58CC" w14:textId="137E82D2"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2</w:t>
            </w:r>
          </w:p>
        </w:tc>
        <w:tc>
          <w:tcPr>
            <w:tcW w:w="850" w:type="dxa"/>
            <w:tcBorders>
              <w:top w:val="single" w:sz="4" w:space="0" w:color="000000"/>
              <w:left w:val="single" w:sz="4" w:space="0" w:color="000000"/>
              <w:bottom w:val="single" w:sz="4" w:space="0" w:color="000000"/>
              <w:right w:val="single" w:sz="4" w:space="0" w:color="000000"/>
            </w:tcBorders>
          </w:tcPr>
          <w:p w14:paraId="562E374A" w14:textId="776D78F2"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3</w:t>
            </w:r>
          </w:p>
        </w:tc>
        <w:tc>
          <w:tcPr>
            <w:tcW w:w="851" w:type="dxa"/>
            <w:tcBorders>
              <w:top w:val="single" w:sz="4" w:space="0" w:color="000000"/>
              <w:left w:val="single" w:sz="4" w:space="0" w:color="000000"/>
              <w:bottom w:val="single" w:sz="4" w:space="0" w:color="000000"/>
              <w:right w:val="single" w:sz="4" w:space="0" w:color="000000"/>
            </w:tcBorders>
          </w:tcPr>
          <w:p w14:paraId="460C0008" w14:textId="3DC5C0C5"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4</w:t>
            </w:r>
          </w:p>
        </w:tc>
        <w:tc>
          <w:tcPr>
            <w:tcW w:w="709" w:type="dxa"/>
            <w:tcBorders>
              <w:top w:val="single" w:sz="4" w:space="0" w:color="000000"/>
              <w:left w:val="single" w:sz="4" w:space="0" w:color="000000"/>
              <w:bottom w:val="single" w:sz="4" w:space="0" w:color="000000"/>
              <w:right w:val="single" w:sz="4" w:space="0" w:color="000000"/>
            </w:tcBorders>
          </w:tcPr>
          <w:p w14:paraId="5569FDD5" w14:textId="66810BEC"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5</w:t>
            </w:r>
          </w:p>
        </w:tc>
      </w:tr>
      <w:tr w:rsidR="006E5D8F" w:rsidRPr="001F0ED9" w14:paraId="3FAE4EC7" w14:textId="77777777" w:rsidTr="001E3E3B">
        <w:trPr>
          <w:trHeight w:val="886"/>
        </w:trPr>
        <w:tc>
          <w:tcPr>
            <w:tcW w:w="6115" w:type="dxa"/>
            <w:tcBorders>
              <w:top w:val="single" w:sz="4" w:space="0" w:color="000000"/>
              <w:left w:val="single" w:sz="4" w:space="0" w:color="000000"/>
              <w:bottom w:val="single" w:sz="4" w:space="0" w:color="000000"/>
              <w:right w:val="single" w:sz="4" w:space="0" w:color="000000"/>
            </w:tcBorders>
          </w:tcPr>
          <w:p w14:paraId="36464199" w14:textId="7CB317C1" w:rsidR="006E5D8F" w:rsidRPr="001F0ED9" w:rsidRDefault="00D30958" w:rsidP="008305ED">
            <w:pPr>
              <w:spacing w:after="0" w:line="240" w:lineRule="auto"/>
              <w:ind w:left="5" w:right="15" w:firstLine="0"/>
              <w:jc w:val="left"/>
              <w:rPr>
                <w:rFonts w:asciiTheme="minorHAnsi" w:hAnsiTheme="minorHAnsi" w:cstheme="minorHAnsi"/>
                <w:sz w:val="22"/>
              </w:rPr>
            </w:pPr>
            <w:r w:rsidRPr="001F0ED9">
              <w:rPr>
                <w:rFonts w:asciiTheme="minorHAnsi" w:hAnsiTheme="minorHAnsi" w:cstheme="minorHAnsi"/>
                <w:b/>
                <w:sz w:val="22"/>
              </w:rPr>
              <w:t>General Knowledge</w:t>
            </w:r>
            <w:r w:rsidR="00FC474D" w:rsidRPr="00FC474D">
              <w:rPr>
                <w:rFonts w:asciiTheme="minorHAnsi" w:hAnsiTheme="minorHAnsi" w:cstheme="minorHAnsi"/>
                <w:b/>
                <w:bCs/>
                <w:sz w:val="22"/>
              </w:rPr>
              <w:t>:</w:t>
            </w:r>
            <w:r w:rsidRPr="001F0ED9">
              <w:rPr>
                <w:rFonts w:asciiTheme="minorHAnsi" w:hAnsiTheme="minorHAnsi" w:cstheme="minorHAnsi"/>
                <w:sz w:val="22"/>
              </w:rPr>
              <w:t xml:space="preserve"> In-depth understanding of subject matter, appropriate information resources used, opinions/conclusions are supported by factual evidence </w:t>
            </w:r>
          </w:p>
        </w:tc>
        <w:tc>
          <w:tcPr>
            <w:tcW w:w="794" w:type="dxa"/>
            <w:tcBorders>
              <w:top w:val="single" w:sz="4" w:space="0" w:color="000000"/>
              <w:left w:val="single" w:sz="4" w:space="0" w:color="000000"/>
              <w:bottom w:val="single" w:sz="4" w:space="0" w:color="000000"/>
              <w:right w:val="single" w:sz="4" w:space="0" w:color="000000"/>
            </w:tcBorders>
          </w:tcPr>
          <w:p w14:paraId="404F5AFB" w14:textId="67D9961D"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1</w:t>
            </w:r>
          </w:p>
        </w:tc>
        <w:tc>
          <w:tcPr>
            <w:tcW w:w="851" w:type="dxa"/>
            <w:tcBorders>
              <w:top w:val="single" w:sz="4" w:space="0" w:color="000000"/>
              <w:left w:val="single" w:sz="4" w:space="0" w:color="000000"/>
              <w:bottom w:val="single" w:sz="4" w:space="0" w:color="000000"/>
              <w:right w:val="single" w:sz="4" w:space="0" w:color="000000"/>
            </w:tcBorders>
          </w:tcPr>
          <w:p w14:paraId="3F622534" w14:textId="7FB34C13"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2</w:t>
            </w:r>
          </w:p>
        </w:tc>
        <w:tc>
          <w:tcPr>
            <w:tcW w:w="850" w:type="dxa"/>
            <w:tcBorders>
              <w:top w:val="single" w:sz="4" w:space="0" w:color="000000"/>
              <w:left w:val="single" w:sz="4" w:space="0" w:color="000000"/>
              <w:bottom w:val="single" w:sz="4" w:space="0" w:color="000000"/>
              <w:right w:val="single" w:sz="4" w:space="0" w:color="000000"/>
            </w:tcBorders>
          </w:tcPr>
          <w:p w14:paraId="333A0373" w14:textId="1C7A71F6"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3</w:t>
            </w:r>
          </w:p>
        </w:tc>
        <w:tc>
          <w:tcPr>
            <w:tcW w:w="851" w:type="dxa"/>
            <w:tcBorders>
              <w:top w:val="single" w:sz="4" w:space="0" w:color="000000"/>
              <w:left w:val="single" w:sz="4" w:space="0" w:color="000000"/>
              <w:bottom w:val="single" w:sz="4" w:space="0" w:color="000000"/>
              <w:right w:val="single" w:sz="4" w:space="0" w:color="000000"/>
            </w:tcBorders>
          </w:tcPr>
          <w:p w14:paraId="53A31829" w14:textId="2072A3FD"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4</w:t>
            </w:r>
          </w:p>
        </w:tc>
        <w:tc>
          <w:tcPr>
            <w:tcW w:w="709" w:type="dxa"/>
            <w:tcBorders>
              <w:top w:val="single" w:sz="4" w:space="0" w:color="000000"/>
              <w:left w:val="single" w:sz="4" w:space="0" w:color="000000"/>
              <w:bottom w:val="single" w:sz="4" w:space="0" w:color="000000"/>
              <w:right w:val="single" w:sz="4" w:space="0" w:color="000000"/>
            </w:tcBorders>
          </w:tcPr>
          <w:p w14:paraId="32E2BE61" w14:textId="6909EE89"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5</w:t>
            </w:r>
          </w:p>
        </w:tc>
      </w:tr>
      <w:tr w:rsidR="006E5D8F" w:rsidRPr="001F0ED9" w14:paraId="392DE00A" w14:textId="77777777" w:rsidTr="001E3E3B">
        <w:trPr>
          <w:trHeight w:val="688"/>
        </w:trPr>
        <w:tc>
          <w:tcPr>
            <w:tcW w:w="6115" w:type="dxa"/>
            <w:tcBorders>
              <w:top w:val="single" w:sz="4" w:space="0" w:color="000000"/>
              <w:left w:val="single" w:sz="4" w:space="0" w:color="000000"/>
              <w:bottom w:val="single" w:sz="4" w:space="0" w:color="000000"/>
              <w:right w:val="single" w:sz="4" w:space="0" w:color="000000"/>
            </w:tcBorders>
          </w:tcPr>
          <w:p w14:paraId="1D110355" w14:textId="7D4F9072" w:rsidR="006E5D8F" w:rsidRPr="001F0ED9" w:rsidRDefault="00D30958" w:rsidP="008305ED">
            <w:pPr>
              <w:spacing w:after="0" w:line="240" w:lineRule="auto"/>
              <w:ind w:left="5" w:right="15" w:firstLine="0"/>
              <w:jc w:val="left"/>
              <w:rPr>
                <w:rFonts w:asciiTheme="minorHAnsi" w:hAnsiTheme="minorHAnsi" w:cstheme="minorHAnsi"/>
                <w:sz w:val="22"/>
              </w:rPr>
            </w:pPr>
            <w:r w:rsidRPr="001F0ED9">
              <w:rPr>
                <w:rFonts w:asciiTheme="minorHAnsi" w:hAnsiTheme="minorHAnsi" w:cstheme="minorHAnsi"/>
                <w:b/>
                <w:sz w:val="22"/>
              </w:rPr>
              <w:t>Responsiveness</w:t>
            </w:r>
            <w:r w:rsidR="00FC474D" w:rsidRPr="00FC474D">
              <w:rPr>
                <w:rFonts w:asciiTheme="minorHAnsi" w:hAnsiTheme="minorHAnsi" w:cstheme="minorHAnsi"/>
                <w:b/>
                <w:bCs/>
                <w:sz w:val="22"/>
              </w:rPr>
              <w:t>:</w:t>
            </w:r>
            <w:r w:rsidRPr="001F0ED9">
              <w:rPr>
                <w:rFonts w:asciiTheme="minorHAnsi" w:hAnsiTheme="minorHAnsi" w:cstheme="minorHAnsi"/>
                <w:sz w:val="22"/>
              </w:rPr>
              <w:t xml:space="preserve"> Ability to answer questions and critical analyses of data in a clear manner. </w:t>
            </w:r>
          </w:p>
        </w:tc>
        <w:tc>
          <w:tcPr>
            <w:tcW w:w="794" w:type="dxa"/>
            <w:tcBorders>
              <w:top w:val="single" w:sz="4" w:space="0" w:color="000000"/>
              <w:left w:val="single" w:sz="4" w:space="0" w:color="000000"/>
              <w:bottom w:val="single" w:sz="4" w:space="0" w:color="000000"/>
              <w:right w:val="single" w:sz="4" w:space="0" w:color="000000"/>
            </w:tcBorders>
          </w:tcPr>
          <w:p w14:paraId="30B9A1F5" w14:textId="2160BE8A"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1</w:t>
            </w:r>
          </w:p>
        </w:tc>
        <w:tc>
          <w:tcPr>
            <w:tcW w:w="851" w:type="dxa"/>
            <w:tcBorders>
              <w:top w:val="single" w:sz="4" w:space="0" w:color="000000"/>
              <w:left w:val="single" w:sz="4" w:space="0" w:color="000000"/>
              <w:bottom w:val="single" w:sz="4" w:space="0" w:color="000000"/>
              <w:right w:val="single" w:sz="4" w:space="0" w:color="000000"/>
            </w:tcBorders>
          </w:tcPr>
          <w:p w14:paraId="5C86F1D1" w14:textId="3D10DE81"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2</w:t>
            </w:r>
          </w:p>
        </w:tc>
        <w:tc>
          <w:tcPr>
            <w:tcW w:w="850" w:type="dxa"/>
            <w:tcBorders>
              <w:top w:val="single" w:sz="4" w:space="0" w:color="000000"/>
              <w:left w:val="single" w:sz="4" w:space="0" w:color="000000"/>
              <w:bottom w:val="single" w:sz="4" w:space="0" w:color="000000"/>
              <w:right w:val="single" w:sz="4" w:space="0" w:color="000000"/>
            </w:tcBorders>
          </w:tcPr>
          <w:p w14:paraId="3FF7D982" w14:textId="4B34C172"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3</w:t>
            </w:r>
          </w:p>
        </w:tc>
        <w:tc>
          <w:tcPr>
            <w:tcW w:w="851" w:type="dxa"/>
            <w:tcBorders>
              <w:top w:val="single" w:sz="4" w:space="0" w:color="000000"/>
              <w:left w:val="single" w:sz="4" w:space="0" w:color="000000"/>
              <w:bottom w:val="single" w:sz="4" w:space="0" w:color="000000"/>
              <w:right w:val="single" w:sz="4" w:space="0" w:color="000000"/>
            </w:tcBorders>
          </w:tcPr>
          <w:p w14:paraId="2260305D" w14:textId="41EE104D"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4</w:t>
            </w:r>
          </w:p>
        </w:tc>
        <w:tc>
          <w:tcPr>
            <w:tcW w:w="709" w:type="dxa"/>
            <w:tcBorders>
              <w:top w:val="single" w:sz="4" w:space="0" w:color="000000"/>
              <w:left w:val="single" w:sz="4" w:space="0" w:color="000000"/>
              <w:bottom w:val="single" w:sz="4" w:space="0" w:color="000000"/>
              <w:right w:val="single" w:sz="4" w:space="0" w:color="000000"/>
            </w:tcBorders>
          </w:tcPr>
          <w:p w14:paraId="5F2C14FC" w14:textId="64F4244D"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5</w:t>
            </w:r>
          </w:p>
        </w:tc>
      </w:tr>
      <w:tr w:rsidR="006E5D8F" w:rsidRPr="001F0ED9" w14:paraId="6D88F913" w14:textId="77777777" w:rsidTr="001E3E3B">
        <w:trPr>
          <w:trHeight w:val="670"/>
        </w:trPr>
        <w:tc>
          <w:tcPr>
            <w:tcW w:w="6115" w:type="dxa"/>
            <w:tcBorders>
              <w:top w:val="single" w:sz="4" w:space="0" w:color="000000"/>
              <w:left w:val="single" w:sz="4" w:space="0" w:color="000000"/>
              <w:bottom w:val="single" w:sz="4" w:space="0" w:color="000000"/>
              <w:right w:val="single" w:sz="4" w:space="0" w:color="000000"/>
            </w:tcBorders>
          </w:tcPr>
          <w:p w14:paraId="2FF8A6F7" w14:textId="7CECB0A9" w:rsidR="006E5D8F" w:rsidRPr="001F0ED9" w:rsidRDefault="00D30958" w:rsidP="008305ED">
            <w:pPr>
              <w:spacing w:after="0" w:line="240" w:lineRule="auto"/>
              <w:ind w:left="5" w:right="15" w:firstLine="0"/>
              <w:jc w:val="left"/>
              <w:rPr>
                <w:rFonts w:asciiTheme="minorHAnsi" w:hAnsiTheme="minorHAnsi" w:cstheme="minorHAnsi"/>
                <w:sz w:val="22"/>
              </w:rPr>
            </w:pPr>
            <w:r w:rsidRPr="001F0ED9">
              <w:rPr>
                <w:rFonts w:asciiTheme="minorHAnsi" w:hAnsiTheme="minorHAnsi" w:cstheme="minorHAnsi"/>
                <w:b/>
                <w:sz w:val="22"/>
              </w:rPr>
              <w:t>Overall</w:t>
            </w:r>
            <w:r w:rsidR="00FC474D" w:rsidRPr="00FC474D">
              <w:rPr>
                <w:rFonts w:asciiTheme="minorHAnsi" w:hAnsiTheme="minorHAnsi" w:cstheme="minorHAnsi"/>
                <w:b/>
                <w:bCs/>
                <w:sz w:val="22"/>
              </w:rPr>
              <w:t>:</w:t>
            </w:r>
            <w:r w:rsidRPr="001F0ED9">
              <w:rPr>
                <w:rFonts w:asciiTheme="minorHAnsi" w:hAnsiTheme="minorHAnsi" w:cstheme="minorHAnsi"/>
                <w:sz w:val="22"/>
              </w:rPr>
              <w:t xml:space="preserve"> Rank this presentation compared to the other research presentations you have attended. </w:t>
            </w:r>
          </w:p>
        </w:tc>
        <w:tc>
          <w:tcPr>
            <w:tcW w:w="794" w:type="dxa"/>
            <w:tcBorders>
              <w:top w:val="single" w:sz="4" w:space="0" w:color="000000"/>
              <w:left w:val="single" w:sz="4" w:space="0" w:color="000000"/>
              <w:bottom w:val="single" w:sz="4" w:space="0" w:color="000000"/>
              <w:right w:val="single" w:sz="4" w:space="0" w:color="000000"/>
            </w:tcBorders>
          </w:tcPr>
          <w:p w14:paraId="712A2892" w14:textId="177A6C1B"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1</w:t>
            </w:r>
          </w:p>
        </w:tc>
        <w:tc>
          <w:tcPr>
            <w:tcW w:w="851" w:type="dxa"/>
            <w:tcBorders>
              <w:top w:val="single" w:sz="4" w:space="0" w:color="000000"/>
              <w:left w:val="single" w:sz="4" w:space="0" w:color="000000"/>
              <w:bottom w:val="single" w:sz="4" w:space="0" w:color="000000"/>
              <w:right w:val="single" w:sz="4" w:space="0" w:color="000000"/>
            </w:tcBorders>
          </w:tcPr>
          <w:p w14:paraId="796356E1" w14:textId="05217F02"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2</w:t>
            </w:r>
          </w:p>
        </w:tc>
        <w:tc>
          <w:tcPr>
            <w:tcW w:w="850" w:type="dxa"/>
            <w:tcBorders>
              <w:top w:val="single" w:sz="4" w:space="0" w:color="000000"/>
              <w:left w:val="single" w:sz="4" w:space="0" w:color="000000"/>
              <w:bottom w:val="single" w:sz="4" w:space="0" w:color="000000"/>
              <w:right w:val="single" w:sz="4" w:space="0" w:color="000000"/>
            </w:tcBorders>
          </w:tcPr>
          <w:p w14:paraId="73090107" w14:textId="71122BD1" w:rsidR="006E5D8F" w:rsidRPr="001F0ED9" w:rsidRDefault="00D30958" w:rsidP="008305ED">
            <w:pPr>
              <w:spacing w:after="0" w:line="240" w:lineRule="auto"/>
              <w:ind w:left="5" w:right="15" w:firstLine="0"/>
              <w:jc w:val="center"/>
              <w:rPr>
                <w:rFonts w:asciiTheme="minorHAnsi" w:hAnsiTheme="minorHAnsi" w:cstheme="minorHAnsi"/>
                <w:sz w:val="22"/>
              </w:rPr>
            </w:pPr>
            <w:r w:rsidRPr="001F0ED9">
              <w:rPr>
                <w:rFonts w:asciiTheme="minorHAnsi" w:hAnsiTheme="minorHAnsi" w:cstheme="minorHAnsi"/>
                <w:sz w:val="22"/>
              </w:rPr>
              <w:t>3</w:t>
            </w:r>
          </w:p>
        </w:tc>
        <w:tc>
          <w:tcPr>
            <w:tcW w:w="851" w:type="dxa"/>
            <w:tcBorders>
              <w:top w:val="single" w:sz="4" w:space="0" w:color="000000"/>
              <w:left w:val="single" w:sz="4" w:space="0" w:color="000000"/>
              <w:bottom w:val="single" w:sz="4" w:space="0" w:color="000000"/>
              <w:right w:val="single" w:sz="4" w:space="0" w:color="000000"/>
            </w:tcBorders>
          </w:tcPr>
          <w:p w14:paraId="3B795D28" w14:textId="6127E4B0"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4</w:t>
            </w:r>
          </w:p>
        </w:tc>
        <w:tc>
          <w:tcPr>
            <w:tcW w:w="709" w:type="dxa"/>
            <w:tcBorders>
              <w:top w:val="single" w:sz="4" w:space="0" w:color="000000"/>
              <w:left w:val="single" w:sz="4" w:space="0" w:color="000000"/>
              <w:bottom w:val="single" w:sz="4" w:space="0" w:color="000000"/>
              <w:right w:val="single" w:sz="4" w:space="0" w:color="000000"/>
            </w:tcBorders>
          </w:tcPr>
          <w:p w14:paraId="39F7ABDC" w14:textId="527D2634"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sz w:val="22"/>
              </w:rPr>
              <w:t>5</w:t>
            </w:r>
          </w:p>
        </w:tc>
      </w:tr>
    </w:tbl>
    <w:p w14:paraId="3AC84C28"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p w14:paraId="311E76EB" w14:textId="77777777" w:rsidR="006E5D8F" w:rsidRPr="001F0ED9" w:rsidRDefault="00D30958" w:rsidP="008305ED">
      <w:pPr>
        <w:spacing w:after="5" w:line="240" w:lineRule="auto"/>
        <w:ind w:left="-5" w:right="15"/>
        <w:jc w:val="left"/>
        <w:rPr>
          <w:rFonts w:asciiTheme="minorHAnsi" w:hAnsiTheme="minorHAnsi" w:cstheme="minorHAnsi"/>
          <w:sz w:val="22"/>
        </w:rPr>
      </w:pPr>
      <w:r w:rsidRPr="001F0ED9">
        <w:rPr>
          <w:rFonts w:asciiTheme="minorHAnsi" w:hAnsiTheme="minorHAnsi" w:cstheme="minorHAnsi"/>
          <w:b/>
          <w:sz w:val="22"/>
        </w:rPr>
        <w:t xml:space="preserve">General Comments: </w:t>
      </w:r>
    </w:p>
    <w:p w14:paraId="78C4EDC9" w14:textId="77777777" w:rsidR="006E5D8F" w:rsidRPr="001F0ED9" w:rsidRDefault="00D30958" w:rsidP="008305ED">
      <w:pPr>
        <w:spacing w:after="0" w:line="240" w:lineRule="auto"/>
        <w:ind w:left="0" w:right="15" w:firstLine="0"/>
        <w:jc w:val="center"/>
        <w:rPr>
          <w:rFonts w:asciiTheme="minorHAnsi" w:hAnsiTheme="minorHAnsi" w:cstheme="minorHAnsi"/>
          <w:sz w:val="22"/>
        </w:rPr>
      </w:pPr>
      <w:r w:rsidRPr="001F0ED9">
        <w:rPr>
          <w:rFonts w:asciiTheme="minorHAnsi" w:hAnsiTheme="minorHAnsi" w:cstheme="minorHAnsi"/>
          <w:b/>
          <w:sz w:val="22"/>
        </w:rPr>
        <w:t xml:space="preserve"> </w:t>
      </w:r>
    </w:p>
    <w:tbl>
      <w:tblPr>
        <w:tblStyle w:val="TableGrid"/>
        <w:tblW w:w="10170" w:type="dxa"/>
        <w:tblInd w:w="-110" w:type="dxa"/>
        <w:tblCellMar>
          <w:top w:w="12" w:type="dxa"/>
          <w:left w:w="110" w:type="dxa"/>
          <w:right w:w="115" w:type="dxa"/>
        </w:tblCellMar>
        <w:tblLook w:val="04A0" w:firstRow="1" w:lastRow="0" w:firstColumn="1" w:lastColumn="0" w:noHBand="0" w:noVBand="1"/>
      </w:tblPr>
      <w:tblGrid>
        <w:gridCol w:w="10170"/>
      </w:tblGrid>
      <w:tr w:rsidR="006E5D8F" w:rsidRPr="001F0ED9" w14:paraId="7520EECF" w14:textId="77777777" w:rsidTr="001E3E3B">
        <w:trPr>
          <w:trHeight w:val="2770"/>
        </w:trPr>
        <w:tc>
          <w:tcPr>
            <w:tcW w:w="10170" w:type="dxa"/>
            <w:tcBorders>
              <w:top w:val="single" w:sz="4" w:space="0" w:color="000000"/>
              <w:left w:val="single" w:sz="4" w:space="0" w:color="000000"/>
              <w:bottom w:val="single" w:sz="4" w:space="0" w:color="000000"/>
              <w:right w:val="single" w:sz="4" w:space="0" w:color="000000"/>
            </w:tcBorders>
          </w:tcPr>
          <w:p w14:paraId="35E31EBF"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651F606C"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7FC303AB"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7770C1A9"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3BC26B0D"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2C91B8E7"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6D6F2DF6"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5D433179"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75CDD994"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tc>
      </w:tr>
    </w:tbl>
    <w:p w14:paraId="0B7678B5" w14:textId="77777777"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b/>
          <w:sz w:val="22"/>
        </w:rPr>
        <w:t xml:space="preserve"> </w:t>
      </w:r>
    </w:p>
    <w:p w14:paraId="5B0174D2" w14:textId="77777777" w:rsidR="006E5D8F" w:rsidRPr="001F0ED9" w:rsidRDefault="00D30958" w:rsidP="008305ED">
      <w:pPr>
        <w:pStyle w:val="Heading5"/>
        <w:spacing w:line="240" w:lineRule="auto"/>
        <w:ind w:left="-5" w:right="15"/>
        <w:rPr>
          <w:rFonts w:asciiTheme="minorHAnsi" w:hAnsiTheme="minorHAnsi" w:cstheme="minorHAnsi"/>
          <w:sz w:val="22"/>
        </w:rPr>
      </w:pPr>
      <w:r w:rsidRPr="001F0ED9">
        <w:rPr>
          <w:rFonts w:asciiTheme="minorHAnsi" w:hAnsiTheme="minorHAnsi" w:cstheme="minorHAnsi"/>
          <w:sz w:val="22"/>
        </w:rPr>
        <w:t>Recommendation:                                Pass                                  Fail</w:t>
      </w:r>
      <w:r w:rsidRPr="001F0ED9">
        <w:rPr>
          <w:rFonts w:asciiTheme="minorHAnsi" w:hAnsiTheme="minorHAnsi" w:cstheme="minorHAnsi"/>
          <w:b w:val="0"/>
          <w:sz w:val="22"/>
        </w:rPr>
        <w:t xml:space="preserve"> </w:t>
      </w:r>
    </w:p>
    <w:p w14:paraId="21563F35" w14:textId="769D1E4C" w:rsidR="006E5D8F" w:rsidRPr="001F0ED9" w:rsidRDefault="00D30958" w:rsidP="008305ED">
      <w:pPr>
        <w:spacing w:after="0" w:line="240" w:lineRule="auto"/>
        <w:ind w:left="0" w:right="15" w:firstLine="0"/>
        <w:jc w:val="left"/>
        <w:rPr>
          <w:rFonts w:asciiTheme="minorHAnsi" w:hAnsiTheme="minorHAnsi" w:cstheme="minorHAnsi"/>
          <w:sz w:val="22"/>
        </w:rPr>
      </w:pPr>
      <w:r w:rsidRPr="001F0ED9">
        <w:rPr>
          <w:rFonts w:asciiTheme="minorHAnsi" w:hAnsiTheme="minorHAnsi" w:cstheme="minorHAnsi"/>
          <w:sz w:val="22"/>
        </w:rPr>
        <w:t xml:space="preserve"> </w:t>
      </w:r>
    </w:p>
    <w:sectPr w:rsidR="006E5D8F" w:rsidRPr="001F0ED9" w:rsidSect="00C36A60">
      <w:footerReference w:type="even" r:id="rId37"/>
      <w:footerReference w:type="default" r:id="rId38"/>
      <w:footerReference w:type="first" r:id="rId39"/>
      <w:pgSz w:w="12240" w:h="15840"/>
      <w:pgMar w:top="1440" w:right="1080" w:bottom="1440" w:left="1080" w:header="720" w:footer="7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CD8B" w14:textId="77777777" w:rsidR="000C2EC8" w:rsidRDefault="000C2EC8">
      <w:pPr>
        <w:spacing w:after="0" w:line="240" w:lineRule="auto"/>
      </w:pPr>
      <w:r>
        <w:separator/>
      </w:r>
    </w:p>
  </w:endnote>
  <w:endnote w:type="continuationSeparator" w:id="0">
    <w:p w14:paraId="41149B67" w14:textId="77777777" w:rsidR="000C2EC8" w:rsidRDefault="000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panose1 w:val="00000000000000000000"/>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ECB" w14:textId="78F82173" w:rsidR="009374E0" w:rsidRDefault="009374E0">
    <w:pPr>
      <w:spacing w:after="0" w:line="259" w:lineRule="auto"/>
      <w:ind w:left="0" w:right="60" w:firstLine="0"/>
      <w:jc w:val="right"/>
    </w:pPr>
    <w:r>
      <w:t xml:space="preserve">Page </w:t>
    </w:r>
    <w:r>
      <w:rPr>
        <w:b/>
      </w:rPr>
      <w:fldChar w:fldCharType="begin"/>
    </w:r>
    <w:r>
      <w:rPr>
        <w:b/>
      </w:rPr>
      <w:instrText xml:space="preserve"> PAGE   \* MERGEFORMAT </w:instrText>
    </w:r>
    <w:r>
      <w:rPr>
        <w:b/>
      </w:rPr>
      <w:fldChar w:fldCharType="separate"/>
    </w:r>
    <w:r>
      <w:rPr>
        <w:b/>
        <w:noProof/>
      </w:rPr>
      <w:t>10</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21</w:t>
    </w:r>
    <w:r>
      <w:rPr>
        <w:b/>
      </w:rPr>
      <w:fldChar w:fldCharType="end"/>
    </w:r>
    <w:r>
      <w:t xml:space="preserve"> </w:t>
    </w:r>
  </w:p>
  <w:p w14:paraId="7159B1A8" w14:textId="77777777" w:rsidR="009374E0" w:rsidRDefault="009374E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3511" w14:textId="7C323A13" w:rsidR="009374E0" w:rsidRPr="008305ED" w:rsidRDefault="009374E0" w:rsidP="008305ED">
    <w:pPr>
      <w:spacing w:after="0" w:line="259" w:lineRule="auto"/>
      <w:ind w:left="0" w:right="60" w:firstLine="0"/>
      <w:jc w:val="center"/>
      <w:rPr>
        <w:rFonts w:asciiTheme="minorHAnsi" w:hAnsiTheme="minorHAnsi" w:cstheme="minorHAnsi"/>
        <w:color w:val="808080" w:themeColor="background1" w:themeShade="80"/>
        <w:sz w:val="18"/>
        <w:szCs w:val="18"/>
      </w:rPr>
    </w:pPr>
    <w:r w:rsidRPr="008305ED">
      <w:rPr>
        <w:rFonts w:asciiTheme="minorHAnsi" w:hAnsiTheme="minorHAnsi" w:cstheme="minorHAnsi"/>
        <w:color w:val="808080" w:themeColor="background1" w:themeShade="80"/>
        <w:sz w:val="18"/>
        <w:szCs w:val="18"/>
      </w:rPr>
      <w:t xml:space="preserve">Page </w:t>
    </w:r>
    <w:r w:rsidRPr="008305ED">
      <w:rPr>
        <w:rFonts w:asciiTheme="minorHAnsi" w:hAnsiTheme="minorHAnsi" w:cstheme="minorHAnsi"/>
        <w:b/>
        <w:color w:val="808080" w:themeColor="background1" w:themeShade="80"/>
        <w:sz w:val="18"/>
        <w:szCs w:val="18"/>
      </w:rPr>
      <w:fldChar w:fldCharType="begin"/>
    </w:r>
    <w:r w:rsidRPr="008305ED">
      <w:rPr>
        <w:rFonts w:asciiTheme="minorHAnsi" w:hAnsiTheme="minorHAnsi" w:cstheme="minorHAnsi"/>
        <w:b/>
        <w:color w:val="808080" w:themeColor="background1" w:themeShade="80"/>
        <w:sz w:val="18"/>
        <w:szCs w:val="18"/>
      </w:rPr>
      <w:instrText xml:space="preserve"> PAGE   \* MERGEFORMAT </w:instrText>
    </w:r>
    <w:r w:rsidRPr="008305ED">
      <w:rPr>
        <w:rFonts w:asciiTheme="minorHAnsi" w:hAnsiTheme="minorHAnsi" w:cstheme="minorHAnsi"/>
        <w:b/>
        <w:color w:val="808080" w:themeColor="background1" w:themeShade="80"/>
        <w:sz w:val="18"/>
        <w:szCs w:val="18"/>
      </w:rPr>
      <w:fldChar w:fldCharType="separate"/>
    </w:r>
    <w:r w:rsidR="002616A8" w:rsidRPr="008305ED">
      <w:rPr>
        <w:rFonts w:asciiTheme="minorHAnsi" w:hAnsiTheme="minorHAnsi" w:cstheme="minorHAnsi"/>
        <w:b/>
        <w:noProof/>
        <w:color w:val="808080" w:themeColor="background1" w:themeShade="80"/>
        <w:sz w:val="18"/>
        <w:szCs w:val="18"/>
      </w:rPr>
      <w:t>6</w:t>
    </w:r>
    <w:r w:rsidRPr="008305ED">
      <w:rPr>
        <w:rFonts w:asciiTheme="minorHAnsi" w:hAnsiTheme="minorHAnsi" w:cstheme="minorHAnsi"/>
        <w:b/>
        <w:color w:val="808080" w:themeColor="background1" w:themeShade="80"/>
        <w:sz w:val="18"/>
        <w:szCs w:val="18"/>
      </w:rPr>
      <w:fldChar w:fldCharType="end"/>
    </w:r>
    <w:r w:rsidRPr="008305ED">
      <w:rPr>
        <w:rFonts w:asciiTheme="minorHAnsi" w:hAnsiTheme="minorHAnsi" w:cstheme="minorHAnsi"/>
        <w:color w:val="808080" w:themeColor="background1" w:themeShade="80"/>
        <w:sz w:val="18"/>
        <w:szCs w:val="18"/>
      </w:rPr>
      <w:t xml:space="preserve"> of </w:t>
    </w:r>
    <w:r w:rsidRPr="008305ED">
      <w:rPr>
        <w:rFonts w:asciiTheme="minorHAnsi" w:hAnsiTheme="minorHAnsi" w:cstheme="minorHAnsi"/>
        <w:b/>
        <w:color w:val="808080" w:themeColor="background1" w:themeShade="80"/>
        <w:sz w:val="18"/>
        <w:szCs w:val="18"/>
      </w:rPr>
      <w:fldChar w:fldCharType="begin"/>
    </w:r>
    <w:r w:rsidRPr="008305ED">
      <w:rPr>
        <w:rFonts w:asciiTheme="minorHAnsi" w:hAnsiTheme="minorHAnsi" w:cstheme="minorHAnsi"/>
        <w:b/>
        <w:color w:val="808080" w:themeColor="background1" w:themeShade="80"/>
        <w:sz w:val="18"/>
        <w:szCs w:val="18"/>
      </w:rPr>
      <w:instrText xml:space="preserve"> NUMPAGES   \* MERGEFORMAT </w:instrText>
    </w:r>
    <w:r w:rsidRPr="008305ED">
      <w:rPr>
        <w:rFonts w:asciiTheme="minorHAnsi" w:hAnsiTheme="minorHAnsi" w:cstheme="minorHAnsi"/>
        <w:b/>
        <w:color w:val="808080" w:themeColor="background1" w:themeShade="80"/>
        <w:sz w:val="18"/>
        <w:szCs w:val="18"/>
      </w:rPr>
      <w:fldChar w:fldCharType="separate"/>
    </w:r>
    <w:r w:rsidR="002616A8" w:rsidRPr="008305ED">
      <w:rPr>
        <w:rFonts w:asciiTheme="minorHAnsi" w:hAnsiTheme="minorHAnsi" w:cstheme="minorHAnsi"/>
        <w:b/>
        <w:noProof/>
        <w:color w:val="808080" w:themeColor="background1" w:themeShade="80"/>
        <w:sz w:val="18"/>
        <w:szCs w:val="18"/>
      </w:rPr>
      <w:t>20</w:t>
    </w:r>
    <w:r w:rsidRPr="008305ED">
      <w:rPr>
        <w:rFonts w:asciiTheme="minorHAnsi" w:hAnsiTheme="minorHAnsi" w:cstheme="minorHAnsi"/>
        <w:b/>
        <w:color w:val="808080" w:themeColor="background1" w:themeShade="80"/>
        <w:sz w:val="18"/>
        <w:szCs w:val="18"/>
      </w:rPr>
      <w:fldChar w:fldCharType="end"/>
    </w:r>
  </w:p>
  <w:p w14:paraId="0E40C79D" w14:textId="77777777" w:rsidR="009374E0" w:rsidRDefault="009374E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9174" w14:textId="62283AC7" w:rsidR="009374E0" w:rsidRDefault="009374E0">
    <w:pPr>
      <w:spacing w:after="0" w:line="259" w:lineRule="auto"/>
      <w:ind w:left="0" w:right="60" w:firstLine="0"/>
      <w:jc w:val="right"/>
    </w:pPr>
    <w:r>
      <w:t xml:space="preserve">Page </w:t>
    </w:r>
    <w:r>
      <w:rPr>
        <w:b/>
      </w:rPr>
      <w:fldChar w:fldCharType="begin"/>
    </w:r>
    <w:r>
      <w:rPr>
        <w:b/>
      </w:rPr>
      <w:instrText xml:space="preserve"> PAGE   \* MERGEFORMAT </w:instrText>
    </w:r>
    <w:r>
      <w:rPr>
        <w:b/>
      </w:rPr>
      <w:fldChar w:fldCharType="separate"/>
    </w:r>
    <w:r>
      <w:rPr>
        <w:b/>
      </w:rPr>
      <w:t>10</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21</w:t>
    </w:r>
    <w:r>
      <w:rPr>
        <w:b/>
      </w:rPr>
      <w:fldChar w:fldCharType="end"/>
    </w:r>
    <w:r>
      <w:t xml:space="preserve"> </w:t>
    </w:r>
  </w:p>
  <w:p w14:paraId="12E3E6E2" w14:textId="77777777" w:rsidR="009374E0" w:rsidRDefault="009374E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E4A4" w14:textId="77777777" w:rsidR="000C2EC8" w:rsidRDefault="000C2EC8">
      <w:pPr>
        <w:spacing w:after="0" w:line="240" w:lineRule="auto"/>
      </w:pPr>
      <w:r>
        <w:separator/>
      </w:r>
    </w:p>
  </w:footnote>
  <w:footnote w:type="continuationSeparator" w:id="0">
    <w:p w14:paraId="57121D7E" w14:textId="77777777" w:rsidR="000C2EC8" w:rsidRDefault="000C2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216"/>
    <w:multiLevelType w:val="hybridMultilevel"/>
    <w:tmpl w:val="2778B5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B192C"/>
    <w:multiLevelType w:val="hybridMultilevel"/>
    <w:tmpl w:val="AEBABB7E"/>
    <w:lvl w:ilvl="0" w:tplc="86BC62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0B0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0ABB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2859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D245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9418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242C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4E43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523B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2F6AFF"/>
    <w:multiLevelType w:val="hybridMultilevel"/>
    <w:tmpl w:val="3828B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BF0AAE"/>
    <w:multiLevelType w:val="hybridMultilevel"/>
    <w:tmpl w:val="90F6C4D6"/>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DCE0D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6A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0F0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6C8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C0A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CFA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479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049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34FD1"/>
    <w:multiLevelType w:val="multilevel"/>
    <w:tmpl w:val="9B185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AC17A6"/>
    <w:multiLevelType w:val="hybridMultilevel"/>
    <w:tmpl w:val="4F0CF362"/>
    <w:lvl w:ilvl="0" w:tplc="B4021CEE">
      <w:start w:val="1"/>
      <w:numFmt w:val="decimal"/>
      <w:lvlText w:val="%1)"/>
      <w:lvlJc w:val="left"/>
      <w:pPr>
        <w:ind w:left="70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EDC9D2C">
      <w:start w:val="1"/>
      <w:numFmt w:val="lowerLetter"/>
      <w:lvlText w:val="%2"/>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E5002">
      <w:start w:val="1"/>
      <w:numFmt w:val="lowerRoman"/>
      <w:lvlText w:val="%3"/>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04042">
      <w:start w:val="1"/>
      <w:numFmt w:val="decimal"/>
      <w:lvlText w:val="%4"/>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AEC92">
      <w:start w:val="1"/>
      <w:numFmt w:val="lowerLetter"/>
      <w:lvlText w:val="%5"/>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65284">
      <w:start w:val="1"/>
      <w:numFmt w:val="lowerRoman"/>
      <w:lvlText w:val="%6"/>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AAB2C">
      <w:start w:val="1"/>
      <w:numFmt w:val="decimal"/>
      <w:lvlText w:val="%7"/>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C9CDE">
      <w:start w:val="1"/>
      <w:numFmt w:val="lowerLetter"/>
      <w:lvlText w:val="%8"/>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4DD36">
      <w:start w:val="1"/>
      <w:numFmt w:val="lowerRoman"/>
      <w:lvlText w:val="%9"/>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CE1551"/>
    <w:multiLevelType w:val="hybridMultilevel"/>
    <w:tmpl w:val="7FC058C2"/>
    <w:lvl w:ilvl="0" w:tplc="A42488FE">
      <w:start w:val="1"/>
      <w:numFmt w:val="decimal"/>
      <w:lvlText w:val="%1."/>
      <w:lvlJc w:val="left"/>
      <w:pPr>
        <w:ind w:left="48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00308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059B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88A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E0DE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85DB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5B6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6448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0122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2A1B33"/>
    <w:multiLevelType w:val="hybridMultilevel"/>
    <w:tmpl w:val="3E06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6EC6"/>
    <w:multiLevelType w:val="hybridMultilevel"/>
    <w:tmpl w:val="77545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6C4EE2"/>
    <w:multiLevelType w:val="hybridMultilevel"/>
    <w:tmpl w:val="E9B0C74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A8044B5"/>
    <w:multiLevelType w:val="hybridMultilevel"/>
    <w:tmpl w:val="F93E86EC"/>
    <w:lvl w:ilvl="0" w:tplc="B4081872">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8BC13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AFB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CFE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879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075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E3F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836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6CA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E47830"/>
    <w:multiLevelType w:val="hybridMultilevel"/>
    <w:tmpl w:val="916EA816"/>
    <w:lvl w:ilvl="0" w:tplc="0409000F">
      <w:start w:val="1"/>
      <w:numFmt w:val="decimal"/>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EC24FA"/>
    <w:multiLevelType w:val="hybridMultilevel"/>
    <w:tmpl w:val="9A5C5C82"/>
    <w:lvl w:ilvl="0" w:tplc="724AEA82">
      <w:start w:val="1"/>
      <w:numFmt w:val="lowerLetter"/>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EFE1EC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A344C">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AB55A">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EC7C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6121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640A2">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0D6C6">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43102">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C7436C"/>
    <w:multiLevelType w:val="hybridMultilevel"/>
    <w:tmpl w:val="67408F62"/>
    <w:lvl w:ilvl="0" w:tplc="0409000F">
      <w:start w:val="1"/>
      <w:numFmt w:val="decimal"/>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EB2F78"/>
    <w:multiLevelType w:val="hybridMultilevel"/>
    <w:tmpl w:val="8CD42EE6"/>
    <w:lvl w:ilvl="0" w:tplc="98068F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4C7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C24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63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0A9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C2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2D8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2BDE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82C0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132E37"/>
    <w:multiLevelType w:val="hybridMultilevel"/>
    <w:tmpl w:val="6D909898"/>
    <w:lvl w:ilvl="0" w:tplc="A07A0628">
      <w:start w:val="1"/>
      <w:numFmt w:val="lowerLetter"/>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A9C52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692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253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81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437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43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02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CC4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C128DD"/>
    <w:multiLevelType w:val="hybridMultilevel"/>
    <w:tmpl w:val="AED2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440A8"/>
    <w:multiLevelType w:val="hybridMultilevel"/>
    <w:tmpl w:val="0E3A1D84"/>
    <w:lvl w:ilvl="0" w:tplc="CE04F3DE">
      <w:start w:val="1"/>
      <w:numFmt w:val="decimal"/>
      <w:lvlText w:val="%1."/>
      <w:lvlJc w:val="left"/>
      <w:pPr>
        <w:ind w:left="705"/>
      </w:pPr>
      <w:rPr>
        <w:rFonts w:asciiTheme="minorHAnsi" w:eastAsia="Times New Roman" w:hAnsiTheme="minorHAnsi" w:cstheme="minorHAnsi" w:hint="default"/>
        <w:b w:val="0"/>
        <w:i/>
        <w:iCs/>
        <w:strike w:val="0"/>
        <w:dstrike w:val="0"/>
        <w:color w:val="202020"/>
        <w:sz w:val="22"/>
        <w:szCs w:val="22"/>
        <w:u w:val="none" w:color="000000"/>
        <w:bdr w:val="none" w:sz="0" w:space="0" w:color="auto"/>
        <w:shd w:val="clear" w:color="auto" w:fill="auto"/>
        <w:vertAlign w:val="baseline"/>
      </w:rPr>
    </w:lvl>
    <w:lvl w:ilvl="1" w:tplc="4ED6BD56">
      <w:start w:val="1"/>
      <w:numFmt w:val="lowerLetter"/>
      <w:lvlText w:val="%2"/>
      <w:lvlJc w:val="left"/>
      <w:pPr>
        <w:ind w:left="144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lvl w:ilvl="2" w:tplc="3306B3D8">
      <w:start w:val="1"/>
      <w:numFmt w:val="lowerRoman"/>
      <w:lvlText w:val="%3"/>
      <w:lvlJc w:val="left"/>
      <w:pPr>
        <w:ind w:left="216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lvl w:ilvl="3" w:tplc="E53242F8">
      <w:start w:val="1"/>
      <w:numFmt w:val="decimal"/>
      <w:lvlText w:val="%4"/>
      <w:lvlJc w:val="left"/>
      <w:pPr>
        <w:ind w:left="288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lvl w:ilvl="4" w:tplc="B82CF598">
      <w:start w:val="1"/>
      <w:numFmt w:val="lowerLetter"/>
      <w:lvlText w:val="%5"/>
      <w:lvlJc w:val="left"/>
      <w:pPr>
        <w:ind w:left="360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lvl w:ilvl="5" w:tplc="8A729DF2">
      <w:start w:val="1"/>
      <w:numFmt w:val="lowerRoman"/>
      <w:lvlText w:val="%6"/>
      <w:lvlJc w:val="left"/>
      <w:pPr>
        <w:ind w:left="432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lvl w:ilvl="6" w:tplc="C20CC92A">
      <w:start w:val="1"/>
      <w:numFmt w:val="decimal"/>
      <w:lvlText w:val="%7"/>
      <w:lvlJc w:val="left"/>
      <w:pPr>
        <w:ind w:left="504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lvl w:ilvl="7" w:tplc="F438A3AA">
      <w:start w:val="1"/>
      <w:numFmt w:val="lowerLetter"/>
      <w:lvlText w:val="%8"/>
      <w:lvlJc w:val="left"/>
      <w:pPr>
        <w:ind w:left="576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lvl w:ilvl="8" w:tplc="34B442CC">
      <w:start w:val="1"/>
      <w:numFmt w:val="lowerRoman"/>
      <w:lvlText w:val="%9"/>
      <w:lvlJc w:val="left"/>
      <w:pPr>
        <w:ind w:left="6480"/>
      </w:pPr>
      <w:rPr>
        <w:rFonts w:ascii="Times New Roman" w:eastAsia="Times New Roman" w:hAnsi="Times New Roman" w:cs="Times New Roman"/>
        <w:b w:val="0"/>
        <w:i/>
        <w:iCs/>
        <w:strike w:val="0"/>
        <w:dstrike w:val="0"/>
        <w:color w:val="202020"/>
        <w:sz w:val="24"/>
        <w:szCs w:val="24"/>
        <w:u w:val="none" w:color="000000"/>
        <w:bdr w:val="none" w:sz="0" w:space="0" w:color="auto"/>
        <w:shd w:val="clear" w:color="auto" w:fill="auto"/>
        <w:vertAlign w:val="baseline"/>
      </w:rPr>
    </w:lvl>
  </w:abstractNum>
  <w:abstractNum w:abstractNumId="18" w15:restartNumberingAfterBreak="0">
    <w:nsid w:val="3F555C03"/>
    <w:multiLevelType w:val="hybridMultilevel"/>
    <w:tmpl w:val="85965F94"/>
    <w:lvl w:ilvl="0" w:tplc="241CD374">
      <w:start w:val="2"/>
      <w:numFmt w:val="decimal"/>
      <w:lvlText w:val="%1."/>
      <w:lvlJc w:val="left"/>
      <w:pPr>
        <w:ind w:left="720"/>
      </w:pPr>
      <w:rPr>
        <w:rFonts w:asciiTheme="minorHAnsi" w:eastAsia="Times New Roman" w:hAnsiTheme="minorHAnsi" w:cstheme="minorHAnsi" w:hint="default"/>
        <w:b w:val="0"/>
        <w:i w:val="0"/>
        <w:strike w:val="0"/>
        <w:dstrike w:val="0"/>
        <w:color w:val="202020"/>
        <w:sz w:val="22"/>
        <w:szCs w:val="22"/>
        <w:u w:val="none" w:color="000000"/>
        <w:bdr w:val="none" w:sz="0" w:space="0" w:color="auto"/>
        <w:shd w:val="clear" w:color="auto" w:fill="auto"/>
        <w:vertAlign w:val="baseline"/>
      </w:rPr>
    </w:lvl>
    <w:lvl w:ilvl="1" w:tplc="6C3466B0">
      <w:start w:val="1"/>
      <w:numFmt w:val="lowerLetter"/>
      <w:lvlText w:val="%2"/>
      <w:lvlJc w:val="left"/>
      <w:pPr>
        <w:ind w:left="14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2" w:tplc="FBDA5D0A">
      <w:start w:val="1"/>
      <w:numFmt w:val="lowerRoman"/>
      <w:lvlText w:val="%3"/>
      <w:lvlJc w:val="left"/>
      <w:pPr>
        <w:ind w:left="21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3" w:tplc="E44E3732">
      <w:start w:val="1"/>
      <w:numFmt w:val="decimal"/>
      <w:lvlText w:val="%4"/>
      <w:lvlJc w:val="left"/>
      <w:pPr>
        <w:ind w:left="28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4" w:tplc="CD469770">
      <w:start w:val="1"/>
      <w:numFmt w:val="lowerLetter"/>
      <w:lvlText w:val="%5"/>
      <w:lvlJc w:val="left"/>
      <w:pPr>
        <w:ind w:left="36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5" w:tplc="0C6AA108">
      <w:start w:val="1"/>
      <w:numFmt w:val="lowerRoman"/>
      <w:lvlText w:val="%6"/>
      <w:lvlJc w:val="left"/>
      <w:pPr>
        <w:ind w:left="43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6" w:tplc="2C1ECFC8">
      <w:start w:val="1"/>
      <w:numFmt w:val="decimal"/>
      <w:lvlText w:val="%7"/>
      <w:lvlJc w:val="left"/>
      <w:pPr>
        <w:ind w:left="50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7" w:tplc="C86EA748">
      <w:start w:val="1"/>
      <w:numFmt w:val="lowerLetter"/>
      <w:lvlText w:val="%8"/>
      <w:lvlJc w:val="left"/>
      <w:pPr>
        <w:ind w:left="57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8" w:tplc="FF46E53A">
      <w:start w:val="1"/>
      <w:numFmt w:val="lowerRoman"/>
      <w:lvlText w:val="%9"/>
      <w:lvlJc w:val="left"/>
      <w:pPr>
        <w:ind w:left="64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abstractNum>
  <w:abstractNum w:abstractNumId="19" w15:restartNumberingAfterBreak="0">
    <w:nsid w:val="43862EE0"/>
    <w:multiLevelType w:val="hybridMultilevel"/>
    <w:tmpl w:val="6E4E27A0"/>
    <w:lvl w:ilvl="0" w:tplc="886C230A">
      <w:start w:val="1"/>
      <w:numFmt w:val="lowerLetter"/>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E08CC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65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0217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8AB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6A7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31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09E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C3F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591371"/>
    <w:multiLevelType w:val="hybridMultilevel"/>
    <w:tmpl w:val="E64C7D92"/>
    <w:lvl w:ilvl="0" w:tplc="0409000F">
      <w:start w:val="1"/>
      <w:numFmt w:val="decimal"/>
      <w:lvlText w:val="%1."/>
      <w:lvlJc w:val="left"/>
      <w:pPr>
        <w:ind w:left="72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42C57"/>
    <w:multiLevelType w:val="hybridMultilevel"/>
    <w:tmpl w:val="76D2E812"/>
    <w:lvl w:ilvl="0" w:tplc="A9B057D8">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E589D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64B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AA1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872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8D7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C1A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E72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A21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147980"/>
    <w:multiLevelType w:val="hybridMultilevel"/>
    <w:tmpl w:val="08C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C2563"/>
    <w:multiLevelType w:val="hybridMultilevel"/>
    <w:tmpl w:val="08282684"/>
    <w:lvl w:ilvl="0" w:tplc="10090001">
      <w:start w:val="1"/>
      <w:numFmt w:val="bullet"/>
      <w:lvlText w:val=""/>
      <w:lvlJc w:val="left"/>
      <w:pPr>
        <w:ind w:left="70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BFA95D8">
      <w:start w:val="1"/>
      <w:numFmt w:val="lowerLetter"/>
      <w:lvlText w:val="%2"/>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016">
      <w:start w:val="1"/>
      <w:numFmt w:val="lowerRoman"/>
      <w:lvlText w:val="%3"/>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E643E">
      <w:start w:val="1"/>
      <w:numFmt w:val="decimal"/>
      <w:lvlText w:val="%4"/>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427C0">
      <w:start w:val="1"/>
      <w:numFmt w:val="lowerLetter"/>
      <w:lvlText w:val="%5"/>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8C17A">
      <w:start w:val="1"/>
      <w:numFmt w:val="lowerRoman"/>
      <w:lvlText w:val="%6"/>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48C9A">
      <w:start w:val="1"/>
      <w:numFmt w:val="decimal"/>
      <w:lvlText w:val="%7"/>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6ECB8">
      <w:start w:val="1"/>
      <w:numFmt w:val="lowerLetter"/>
      <w:lvlText w:val="%8"/>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AF816">
      <w:start w:val="1"/>
      <w:numFmt w:val="lowerRoman"/>
      <w:lvlText w:val="%9"/>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E14C2B"/>
    <w:multiLevelType w:val="hybridMultilevel"/>
    <w:tmpl w:val="A14A28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E52FD8"/>
    <w:multiLevelType w:val="hybridMultilevel"/>
    <w:tmpl w:val="295ABFA6"/>
    <w:lvl w:ilvl="0" w:tplc="DF4ABAE8">
      <w:start w:val="1"/>
      <w:numFmt w:val="lowerLetter"/>
      <w:lvlText w:val="%1."/>
      <w:lvlJc w:val="left"/>
      <w:pPr>
        <w:ind w:left="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1D471A6">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68B6A">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0E4F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657D0">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EE42C">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8D360">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A32F2">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2D25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6C522B"/>
    <w:multiLevelType w:val="hybridMultilevel"/>
    <w:tmpl w:val="D4EAD3F0"/>
    <w:lvl w:ilvl="0" w:tplc="1E66810E">
      <w:start w:val="1"/>
      <w:numFmt w:val="lowerLetter"/>
      <w:lvlText w:val="%1."/>
      <w:lvlJc w:val="left"/>
      <w:pPr>
        <w:ind w:left="1425"/>
      </w:pPr>
      <w:rPr>
        <w:rFonts w:asciiTheme="minorHAnsi" w:eastAsia="Times New Roman" w:hAnsiTheme="minorHAnsi" w:cstheme="minorHAnsi" w:hint="default"/>
        <w:b w:val="0"/>
        <w:i w:val="0"/>
        <w:strike w:val="0"/>
        <w:dstrike w:val="0"/>
        <w:color w:val="202020"/>
        <w:sz w:val="22"/>
        <w:szCs w:val="22"/>
        <w:u w:val="none" w:color="000000"/>
        <w:bdr w:val="none" w:sz="0" w:space="0" w:color="auto"/>
        <w:shd w:val="clear" w:color="auto" w:fill="auto"/>
        <w:vertAlign w:val="baseline"/>
      </w:rPr>
    </w:lvl>
    <w:lvl w:ilvl="1" w:tplc="5F582BCC">
      <w:start w:val="1"/>
      <w:numFmt w:val="lowerLetter"/>
      <w:lvlText w:val="%2"/>
      <w:lvlJc w:val="left"/>
      <w:pPr>
        <w:ind w:left="21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2" w:tplc="B8D67070">
      <w:start w:val="1"/>
      <w:numFmt w:val="lowerRoman"/>
      <w:lvlText w:val="%3"/>
      <w:lvlJc w:val="left"/>
      <w:pPr>
        <w:ind w:left="28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3" w:tplc="0CD24DE4">
      <w:start w:val="1"/>
      <w:numFmt w:val="decimal"/>
      <w:lvlText w:val="%4"/>
      <w:lvlJc w:val="left"/>
      <w:pPr>
        <w:ind w:left="36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4" w:tplc="77D4769C">
      <w:start w:val="1"/>
      <w:numFmt w:val="lowerLetter"/>
      <w:lvlText w:val="%5"/>
      <w:lvlJc w:val="left"/>
      <w:pPr>
        <w:ind w:left="432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5" w:tplc="BA0AA4D0">
      <w:start w:val="1"/>
      <w:numFmt w:val="lowerRoman"/>
      <w:lvlText w:val="%6"/>
      <w:lvlJc w:val="left"/>
      <w:pPr>
        <w:ind w:left="504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6" w:tplc="2CDC6C3A">
      <w:start w:val="1"/>
      <w:numFmt w:val="decimal"/>
      <w:lvlText w:val="%7"/>
      <w:lvlJc w:val="left"/>
      <w:pPr>
        <w:ind w:left="576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7" w:tplc="508EEE28">
      <w:start w:val="1"/>
      <w:numFmt w:val="lowerLetter"/>
      <w:lvlText w:val="%8"/>
      <w:lvlJc w:val="left"/>
      <w:pPr>
        <w:ind w:left="648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lvl w:ilvl="8" w:tplc="1E8A1074">
      <w:start w:val="1"/>
      <w:numFmt w:val="lowerRoman"/>
      <w:lvlText w:val="%9"/>
      <w:lvlJc w:val="left"/>
      <w:pPr>
        <w:ind w:left="7200"/>
      </w:pPr>
      <w:rPr>
        <w:rFonts w:ascii="Times New Roman" w:eastAsia="Times New Roman" w:hAnsi="Times New Roman" w:cs="Times New Roman"/>
        <w:b w:val="0"/>
        <w:i w:val="0"/>
        <w:strike w:val="0"/>
        <w:dstrike w:val="0"/>
        <w:color w:val="202020"/>
        <w:sz w:val="24"/>
        <w:szCs w:val="24"/>
        <w:u w:val="none" w:color="000000"/>
        <w:bdr w:val="none" w:sz="0" w:space="0" w:color="auto"/>
        <w:shd w:val="clear" w:color="auto" w:fill="auto"/>
        <w:vertAlign w:val="baseline"/>
      </w:rPr>
    </w:lvl>
  </w:abstractNum>
  <w:abstractNum w:abstractNumId="27" w15:restartNumberingAfterBreak="0">
    <w:nsid w:val="6B736EA1"/>
    <w:multiLevelType w:val="hybridMultilevel"/>
    <w:tmpl w:val="52F29A66"/>
    <w:lvl w:ilvl="0" w:tplc="0409000F">
      <w:start w:val="1"/>
      <w:numFmt w:val="decimal"/>
      <w:lvlText w:val="%1."/>
      <w:lvlJc w:val="left"/>
      <w:pPr>
        <w:ind w:left="84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AE379F"/>
    <w:multiLevelType w:val="hybridMultilevel"/>
    <w:tmpl w:val="E85CAE76"/>
    <w:lvl w:ilvl="0" w:tplc="5374F90A">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AC0BB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C01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291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4E0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2DF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6B5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465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EBB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997060"/>
    <w:multiLevelType w:val="hybridMultilevel"/>
    <w:tmpl w:val="1AE652B4"/>
    <w:lvl w:ilvl="0" w:tplc="55BEAD98">
      <w:start w:val="1"/>
      <w:numFmt w:val="decimal"/>
      <w:lvlText w:val="%1."/>
      <w:lvlJc w:val="left"/>
      <w:pPr>
        <w:ind w:left="24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081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0F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80D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C693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A1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47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7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0E6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68527F"/>
    <w:multiLevelType w:val="hybridMultilevel"/>
    <w:tmpl w:val="08446EC2"/>
    <w:lvl w:ilvl="0" w:tplc="60724A98">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BD23C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66C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28F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CC5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C2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0E11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C03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410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C26A6A"/>
    <w:multiLevelType w:val="hybridMultilevel"/>
    <w:tmpl w:val="ACBC458E"/>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56E5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4D2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490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6F6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E7C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EAD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031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C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D73BA5"/>
    <w:multiLevelType w:val="hybridMultilevel"/>
    <w:tmpl w:val="EBA6FE06"/>
    <w:lvl w:ilvl="0" w:tplc="D6A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0FFD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68F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094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A9B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E997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EC31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A384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261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27402F"/>
    <w:multiLevelType w:val="hybridMultilevel"/>
    <w:tmpl w:val="AC1C5D3C"/>
    <w:lvl w:ilvl="0" w:tplc="433EF02A">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2CC55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A95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8F0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C6F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8A3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2CF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C9E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E24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180E02"/>
    <w:multiLevelType w:val="hybridMultilevel"/>
    <w:tmpl w:val="F0708E4A"/>
    <w:lvl w:ilvl="0" w:tplc="55BEAD98">
      <w:start w:val="1"/>
      <w:numFmt w:val="decimal"/>
      <w:lvlText w:val="%1."/>
      <w:lvlJc w:val="left"/>
      <w:pPr>
        <w:ind w:left="108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AB462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EBE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4AC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4B6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CBA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EE5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42C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894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448115">
    <w:abstractNumId w:val="34"/>
  </w:num>
  <w:num w:numId="2" w16cid:durableId="861436603">
    <w:abstractNumId w:val="30"/>
  </w:num>
  <w:num w:numId="3" w16cid:durableId="1652713823">
    <w:abstractNumId w:val="5"/>
  </w:num>
  <w:num w:numId="4" w16cid:durableId="2056391796">
    <w:abstractNumId w:val="6"/>
  </w:num>
  <w:num w:numId="5" w16cid:durableId="1536113503">
    <w:abstractNumId w:val="29"/>
  </w:num>
  <w:num w:numId="6" w16cid:durableId="1068916427">
    <w:abstractNumId w:val="10"/>
  </w:num>
  <w:num w:numId="7" w16cid:durableId="870264246">
    <w:abstractNumId w:val="14"/>
  </w:num>
  <w:num w:numId="8" w16cid:durableId="702249441">
    <w:abstractNumId w:val="28"/>
  </w:num>
  <w:num w:numId="9" w16cid:durableId="1447459078">
    <w:abstractNumId w:val="33"/>
  </w:num>
  <w:num w:numId="10" w16cid:durableId="238491210">
    <w:abstractNumId w:val="15"/>
  </w:num>
  <w:num w:numId="11" w16cid:durableId="1889801789">
    <w:abstractNumId w:val="21"/>
  </w:num>
  <w:num w:numId="12" w16cid:durableId="2046061080">
    <w:abstractNumId w:val="32"/>
  </w:num>
  <w:num w:numId="13" w16cid:durableId="1521164879">
    <w:abstractNumId w:val="25"/>
  </w:num>
  <w:num w:numId="14" w16cid:durableId="1539004991">
    <w:abstractNumId w:val="12"/>
  </w:num>
  <w:num w:numId="15" w16cid:durableId="1881041863">
    <w:abstractNumId w:val="19"/>
  </w:num>
  <w:num w:numId="16" w16cid:durableId="2034650482">
    <w:abstractNumId w:val="26"/>
  </w:num>
  <w:num w:numId="17" w16cid:durableId="312103398">
    <w:abstractNumId w:val="18"/>
  </w:num>
  <w:num w:numId="18" w16cid:durableId="907108419">
    <w:abstractNumId w:val="17"/>
  </w:num>
  <w:num w:numId="19" w16cid:durableId="1159887737">
    <w:abstractNumId w:val="3"/>
  </w:num>
  <w:num w:numId="20" w16cid:durableId="1969241887">
    <w:abstractNumId w:val="31"/>
  </w:num>
  <w:num w:numId="21" w16cid:durableId="1301034616">
    <w:abstractNumId w:val="23"/>
  </w:num>
  <w:num w:numId="22" w16cid:durableId="975065591">
    <w:abstractNumId w:val="1"/>
  </w:num>
  <w:num w:numId="23" w16cid:durableId="1893957555">
    <w:abstractNumId w:val="0"/>
  </w:num>
  <w:num w:numId="24" w16cid:durableId="828402226">
    <w:abstractNumId w:val="8"/>
  </w:num>
  <w:num w:numId="25" w16cid:durableId="1500805307">
    <w:abstractNumId w:val="16"/>
  </w:num>
  <w:num w:numId="26" w16cid:durableId="52584970">
    <w:abstractNumId w:val="9"/>
  </w:num>
  <w:num w:numId="27" w16cid:durableId="1372805528">
    <w:abstractNumId w:val="20"/>
  </w:num>
  <w:num w:numId="28" w16cid:durableId="553078242">
    <w:abstractNumId w:val="7"/>
  </w:num>
  <w:num w:numId="29" w16cid:durableId="2101027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3904002">
    <w:abstractNumId w:val="22"/>
  </w:num>
  <w:num w:numId="31" w16cid:durableId="1392269556">
    <w:abstractNumId w:val="24"/>
  </w:num>
  <w:num w:numId="32" w16cid:durableId="1677079420">
    <w:abstractNumId w:val="2"/>
  </w:num>
  <w:num w:numId="33" w16cid:durableId="46465027">
    <w:abstractNumId w:val="4"/>
  </w:num>
  <w:num w:numId="34" w16cid:durableId="350305919">
    <w:abstractNumId w:val="11"/>
  </w:num>
  <w:num w:numId="35" w16cid:durableId="1282540538">
    <w:abstractNumId w:val="13"/>
  </w:num>
  <w:num w:numId="36" w16cid:durableId="15143709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TAxNTc1MjM1NbVU0lEKTi0uzszPAykwrwUADUkDJCwAAAA="/>
  </w:docVars>
  <w:rsids>
    <w:rsidRoot w:val="006E5D8F"/>
    <w:rsid w:val="00030B15"/>
    <w:rsid w:val="000353A3"/>
    <w:rsid w:val="00045951"/>
    <w:rsid w:val="000A2061"/>
    <w:rsid w:val="000C2EC8"/>
    <w:rsid w:val="000E4E41"/>
    <w:rsid w:val="000E5DF2"/>
    <w:rsid w:val="00107C58"/>
    <w:rsid w:val="00111B69"/>
    <w:rsid w:val="0013517F"/>
    <w:rsid w:val="0016696A"/>
    <w:rsid w:val="00180A1C"/>
    <w:rsid w:val="00180F4F"/>
    <w:rsid w:val="00187182"/>
    <w:rsid w:val="001C64FA"/>
    <w:rsid w:val="001E2685"/>
    <w:rsid w:val="001E3E3B"/>
    <w:rsid w:val="001F0ED9"/>
    <w:rsid w:val="00224013"/>
    <w:rsid w:val="0024098A"/>
    <w:rsid w:val="002616A8"/>
    <w:rsid w:val="002B257C"/>
    <w:rsid w:val="002C7CCA"/>
    <w:rsid w:val="0030073D"/>
    <w:rsid w:val="00310825"/>
    <w:rsid w:val="0033580A"/>
    <w:rsid w:val="003359D7"/>
    <w:rsid w:val="003663A6"/>
    <w:rsid w:val="00374105"/>
    <w:rsid w:val="00383E21"/>
    <w:rsid w:val="003A0871"/>
    <w:rsid w:val="003A12FD"/>
    <w:rsid w:val="003D1DB9"/>
    <w:rsid w:val="003F3C66"/>
    <w:rsid w:val="003F5976"/>
    <w:rsid w:val="004444D8"/>
    <w:rsid w:val="004706D4"/>
    <w:rsid w:val="00475038"/>
    <w:rsid w:val="004A7D8C"/>
    <w:rsid w:val="004B755D"/>
    <w:rsid w:val="004C7EAD"/>
    <w:rsid w:val="004D47CF"/>
    <w:rsid w:val="004D53E1"/>
    <w:rsid w:val="005032AB"/>
    <w:rsid w:val="00504F07"/>
    <w:rsid w:val="0055448E"/>
    <w:rsid w:val="00581B14"/>
    <w:rsid w:val="005B2647"/>
    <w:rsid w:val="005C2EC3"/>
    <w:rsid w:val="005D6C86"/>
    <w:rsid w:val="00623F9F"/>
    <w:rsid w:val="006472B4"/>
    <w:rsid w:val="0066198A"/>
    <w:rsid w:val="0066249A"/>
    <w:rsid w:val="00666FBD"/>
    <w:rsid w:val="006711E9"/>
    <w:rsid w:val="00682F06"/>
    <w:rsid w:val="006C291A"/>
    <w:rsid w:val="006E5D8F"/>
    <w:rsid w:val="006F23B9"/>
    <w:rsid w:val="006F4133"/>
    <w:rsid w:val="007217D4"/>
    <w:rsid w:val="00736BAA"/>
    <w:rsid w:val="007377D1"/>
    <w:rsid w:val="007960DB"/>
    <w:rsid w:val="007A2BD9"/>
    <w:rsid w:val="007E0994"/>
    <w:rsid w:val="008059C4"/>
    <w:rsid w:val="00806A40"/>
    <w:rsid w:val="008305ED"/>
    <w:rsid w:val="008330A6"/>
    <w:rsid w:val="00843C61"/>
    <w:rsid w:val="008701ED"/>
    <w:rsid w:val="008A7F98"/>
    <w:rsid w:val="008D105C"/>
    <w:rsid w:val="008D4803"/>
    <w:rsid w:val="009374E0"/>
    <w:rsid w:val="0095430D"/>
    <w:rsid w:val="00977CDF"/>
    <w:rsid w:val="00990788"/>
    <w:rsid w:val="009A0E5C"/>
    <w:rsid w:val="009F0A91"/>
    <w:rsid w:val="00A06887"/>
    <w:rsid w:val="00A1562D"/>
    <w:rsid w:val="00A727BF"/>
    <w:rsid w:val="00A74110"/>
    <w:rsid w:val="00A962C4"/>
    <w:rsid w:val="00AA5A22"/>
    <w:rsid w:val="00AB21E8"/>
    <w:rsid w:val="00AB2EA6"/>
    <w:rsid w:val="00AB6D63"/>
    <w:rsid w:val="00AC306C"/>
    <w:rsid w:val="00AC48E6"/>
    <w:rsid w:val="00AE3028"/>
    <w:rsid w:val="00B04457"/>
    <w:rsid w:val="00B06BD8"/>
    <w:rsid w:val="00B07347"/>
    <w:rsid w:val="00B11266"/>
    <w:rsid w:val="00B17752"/>
    <w:rsid w:val="00B4594E"/>
    <w:rsid w:val="00B60E16"/>
    <w:rsid w:val="00B73CB1"/>
    <w:rsid w:val="00B96C7F"/>
    <w:rsid w:val="00BD2EDB"/>
    <w:rsid w:val="00C36A60"/>
    <w:rsid w:val="00C40D5A"/>
    <w:rsid w:val="00C66617"/>
    <w:rsid w:val="00C94D90"/>
    <w:rsid w:val="00CA2CEE"/>
    <w:rsid w:val="00CA7540"/>
    <w:rsid w:val="00CB59EE"/>
    <w:rsid w:val="00CC4A82"/>
    <w:rsid w:val="00CF62FD"/>
    <w:rsid w:val="00D02BD1"/>
    <w:rsid w:val="00D30958"/>
    <w:rsid w:val="00D3630B"/>
    <w:rsid w:val="00D457D9"/>
    <w:rsid w:val="00D81469"/>
    <w:rsid w:val="00DF6936"/>
    <w:rsid w:val="00E01E4E"/>
    <w:rsid w:val="00E0468D"/>
    <w:rsid w:val="00E04C8B"/>
    <w:rsid w:val="00E143D7"/>
    <w:rsid w:val="00E564C8"/>
    <w:rsid w:val="00E5721F"/>
    <w:rsid w:val="00E61784"/>
    <w:rsid w:val="00E623C3"/>
    <w:rsid w:val="00E741FD"/>
    <w:rsid w:val="00E74F8F"/>
    <w:rsid w:val="00E90D1B"/>
    <w:rsid w:val="00EA544D"/>
    <w:rsid w:val="00EA555E"/>
    <w:rsid w:val="00EA6A81"/>
    <w:rsid w:val="00EB5952"/>
    <w:rsid w:val="00F00327"/>
    <w:rsid w:val="00F0112B"/>
    <w:rsid w:val="00F44AE7"/>
    <w:rsid w:val="00FC474D"/>
    <w:rsid w:val="00FD7E3C"/>
    <w:rsid w:val="00FE0141"/>
    <w:rsid w:val="00FE30F1"/>
    <w:rsid w:val="00FF453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E760"/>
  <w15:docId w15:val="{A0204831-F03E-48EA-901F-E0B5F638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15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29"/>
      <w:outlineLvl w:val="0"/>
    </w:pPr>
    <w:rPr>
      <w:rFonts w:ascii="Times New Roman" w:eastAsia="Times New Roman" w:hAnsi="Times New Roman" w:cs="Times New Roman"/>
      <w:b/>
      <w:color w:val="000000"/>
      <w:sz w:val="72"/>
    </w:rPr>
  </w:style>
  <w:style w:type="paragraph" w:styleId="Heading2">
    <w:name w:val="heading 2"/>
    <w:next w:val="Normal"/>
    <w:link w:val="Heading2Char"/>
    <w:uiPriority w:val="9"/>
    <w:unhideWhenUsed/>
    <w:qFormat/>
    <w:pPr>
      <w:keepNext/>
      <w:keepLines/>
      <w:spacing w:after="95"/>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0"/>
      <w:ind w:left="10" w:right="2" w:hanging="10"/>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i/>
      <w:color w:val="000000"/>
      <w:sz w:val="28"/>
    </w:rPr>
  </w:style>
  <w:style w:type="paragraph" w:styleId="Heading5">
    <w:name w:val="heading 5"/>
    <w:next w:val="Normal"/>
    <w:link w:val="Heading5Char"/>
    <w:uiPriority w:val="9"/>
    <w:unhideWhenUsed/>
    <w:qFormat/>
    <w:pPr>
      <w:keepNext/>
      <w:keepLines/>
      <w:spacing w:after="5" w:line="250" w:lineRule="auto"/>
      <w:ind w:left="10"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5" w:line="250" w:lineRule="auto"/>
      <w:ind w:left="10"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0"/>
      <w:ind w:left="10" w:hanging="10"/>
      <w:outlineLvl w:val="6"/>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1Char">
    <w:name w:val="Heading 1 Char"/>
    <w:link w:val="Heading1"/>
    <w:rPr>
      <w:rFonts w:ascii="Times New Roman" w:eastAsia="Times New Roman" w:hAnsi="Times New Roman" w:cs="Times New Roman"/>
      <w:b/>
      <w:color w:val="000000"/>
      <w:sz w:val="72"/>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1F0ED9"/>
    <w:pPr>
      <w:spacing w:before="240"/>
      <w:ind w:left="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F0ED9"/>
    <w:pPr>
      <w:spacing w:after="100"/>
      <w:ind w:left="0"/>
    </w:pPr>
  </w:style>
  <w:style w:type="paragraph" w:styleId="TOC2">
    <w:name w:val="toc 2"/>
    <w:basedOn w:val="Normal"/>
    <w:next w:val="Normal"/>
    <w:autoRedefine/>
    <w:uiPriority w:val="39"/>
    <w:unhideWhenUsed/>
    <w:rsid w:val="001F0ED9"/>
    <w:pPr>
      <w:spacing w:after="100"/>
      <w:ind w:left="240"/>
    </w:pPr>
  </w:style>
  <w:style w:type="paragraph" w:styleId="TOC3">
    <w:name w:val="toc 3"/>
    <w:basedOn w:val="Normal"/>
    <w:next w:val="Normal"/>
    <w:autoRedefine/>
    <w:uiPriority w:val="39"/>
    <w:unhideWhenUsed/>
    <w:rsid w:val="001F0ED9"/>
    <w:pPr>
      <w:spacing w:after="100"/>
      <w:ind w:left="480"/>
    </w:pPr>
  </w:style>
  <w:style w:type="character" w:styleId="Hyperlink">
    <w:name w:val="Hyperlink"/>
    <w:basedOn w:val="DefaultParagraphFont"/>
    <w:uiPriority w:val="99"/>
    <w:unhideWhenUsed/>
    <w:rsid w:val="001F0ED9"/>
    <w:rPr>
      <w:color w:val="0563C1" w:themeColor="hyperlink"/>
      <w:u w:val="single"/>
    </w:rPr>
  </w:style>
  <w:style w:type="paragraph" w:styleId="ListParagraph">
    <w:name w:val="List Paragraph"/>
    <w:basedOn w:val="Normal"/>
    <w:uiPriority w:val="34"/>
    <w:qFormat/>
    <w:rsid w:val="001F0ED9"/>
    <w:pPr>
      <w:ind w:left="720"/>
      <w:contextualSpacing/>
    </w:pPr>
  </w:style>
  <w:style w:type="paragraph" w:styleId="Header">
    <w:name w:val="header"/>
    <w:basedOn w:val="Normal"/>
    <w:link w:val="HeaderChar"/>
    <w:uiPriority w:val="99"/>
    <w:unhideWhenUsed/>
    <w:rsid w:val="0030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0073D"/>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30073D"/>
    <w:rPr>
      <w:rFonts w:cs="Times New Roman"/>
      <w:lang w:val="en-US" w:eastAsia="en-US"/>
    </w:rPr>
  </w:style>
  <w:style w:type="character" w:styleId="CommentReference">
    <w:name w:val="annotation reference"/>
    <w:basedOn w:val="DefaultParagraphFont"/>
    <w:uiPriority w:val="99"/>
    <w:semiHidden/>
    <w:unhideWhenUsed/>
    <w:rsid w:val="00E74F8F"/>
    <w:rPr>
      <w:sz w:val="16"/>
      <w:szCs w:val="16"/>
    </w:rPr>
  </w:style>
  <w:style w:type="paragraph" w:styleId="CommentText">
    <w:name w:val="annotation text"/>
    <w:basedOn w:val="Normal"/>
    <w:link w:val="CommentTextChar"/>
    <w:uiPriority w:val="99"/>
    <w:semiHidden/>
    <w:unhideWhenUsed/>
    <w:rsid w:val="00E74F8F"/>
    <w:pPr>
      <w:spacing w:line="240" w:lineRule="auto"/>
    </w:pPr>
    <w:rPr>
      <w:sz w:val="20"/>
      <w:szCs w:val="20"/>
    </w:rPr>
  </w:style>
  <w:style w:type="character" w:customStyle="1" w:styleId="CommentTextChar">
    <w:name w:val="Comment Text Char"/>
    <w:basedOn w:val="DefaultParagraphFont"/>
    <w:link w:val="CommentText"/>
    <w:uiPriority w:val="99"/>
    <w:semiHidden/>
    <w:rsid w:val="00E74F8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4F8F"/>
    <w:rPr>
      <w:b/>
      <w:bCs/>
    </w:rPr>
  </w:style>
  <w:style w:type="character" w:customStyle="1" w:styleId="CommentSubjectChar">
    <w:name w:val="Comment Subject Char"/>
    <w:basedOn w:val="CommentTextChar"/>
    <w:link w:val="CommentSubject"/>
    <w:uiPriority w:val="99"/>
    <w:semiHidden/>
    <w:rsid w:val="00E74F8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4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8F"/>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FE30F1"/>
    <w:rPr>
      <w:color w:val="954F72" w:themeColor="followedHyperlink"/>
      <w:u w:val="single"/>
    </w:rPr>
  </w:style>
  <w:style w:type="paragraph" w:styleId="Revision">
    <w:name w:val="Revision"/>
    <w:hidden/>
    <w:uiPriority w:val="99"/>
    <w:semiHidden/>
    <w:rsid w:val="00C40D5A"/>
    <w:pPr>
      <w:spacing w:after="0" w:line="240" w:lineRule="auto"/>
    </w:pPr>
    <w:rPr>
      <w:rFonts w:ascii="Times New Roman" w:eastAsia="Times New Roman" w:hAnsi="Times New Roman" w:cs="Times New Roman"/>
      <w:color w:val="000000"/>
      <w:sz w:val="24"/>
    </w:rPr>
  </w:style>
  <w:style w:type="paragraph" w:customStyle="1" w:styleId="Default">
    <w:name w:val="Default"/>
    <w:rsid w:val="00CA2CEE"/>
    <w:pPr>
      <w:autoSpaceDE w:val="0"/>
      <w:autoSpaceDN w:val="0"/>
      <w:adjustRightInd w:val="0"/>
      <w:spacing w:after="0" w:line="240" w:lineRule="auto"/>
    </w:pPr>
    <w:rPr>
      <w:rFonts w:ascii="Calibri" w:hAnsi="Calibri" w:cs="Calibri"/>
      <w:color w:val="000000"/>
      <w:sz w:val="24"/>
      <w:szCs w:val="24"/>
      <w:lang w:val="en-US" w:eastAsia="zh-CN"/>
    </w:rPr>
  </w:style>
  <w:style w:type="paragraph" w:styleId="Title">
    <w:name w:val="Title"/>
    <w:basedOn w:val="Normal"/>
    <w:next w:val="Normal"/>
    <w:link w:val="TitleChar"/>
    <w:uiPriority w:val="10"/>
    <w:qFormat/>
    <w:rsid w:val="008305E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305E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2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n.ca/sgs/go/guid_policies/theses.php" TargetMode="External"/><Relationship Id="rId18" Type="http://schemas.openxmlformats.org/officeDocument/2006/relationships/hyperlink" Target="http://www.mun.ca/sgs/go/guid_policies/theses.php" TargetMode="External"/><Relationship Id="rId26" Type="http://schemas.openxmlformats.org/officeDocument/2006/relationships/hyperlink" Target="http://www.collectionscanada.gc.ca/obj/s4/f2/frm-nl59-2-e.pdf" TargetMode="External"/><Relationship Id="rId39" Type="http://schemas.openxmlformats.org/officeDocument/2006/relationships/footer" Target="footer3.xml"/><Relationship Id="rId21" Type="http://schemas.openxmlformats.org/officeDocument/2006/relationships/hyperlink" Target="https://www.mun.ca/sgs/go/guid_policies/theses.php" TargetMode="External"/><Relationship Id="rId34" Type="http://schemas.openxmlformats.org/officeDocument/2006/relationships/hyperlink" Target="https://www.mun.ca/regoff/calendar/sectionNo=GRAD-00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un.ca/sgs/supervisory_approval_fill.pdf" TargetMode="External"/><Relationship Id="rId20" Type="http://schemas.openxmlformats.org/officeDocument/2006/relationships/hyperlink" Target="http://www.mun.ca/sgs/masters_examinations.pdf" TargetMode="External"/><Relationship Id="rId29" Type="http://schemas.openxmlformats.org/officeDocument/2006/relationships/hyperlink" Target="http://www.mun.ca/sgs/phd_appoin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ca/become/graduate/apply/" TargetMode="External"/><Relationship Id="rId24" Type="http://schemas.openxmlformats.org/officeDocument/2006/relationships/hyperlink" Target="https://www.mun.ca/regoff/graduation/apply/" TargetMode="External"/><Relationship Id="rId32" Type="http://schemas.openxmlformats.org/officeDocument/2006/relationships/hyperlink" Target="https://www.mun.ca/regoff/calendar/sectionNo=GRAD-0024"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lectionscanada.gc.ca/obj/s4/f2/frm-nl59-2-e.pdf" TargetMode="External"/><Relationship Id="rId23" Type="http://schemas.openxmlformats.org/officeDocument/2006/relationships/hyperlink" Target="http://www.mun.ca/regoff/calendar/2012_2013/sectionNo=GRAD-0026" TargetMode="External"/><Relationship Id="rId28" Type="http://schemas.openxmlformats.org/officeDocument/2006/relationships/hyperlink" Target="http://www.mun.ca/sgs/supervisory_approval_fill.pdf" TargetMode="External"/><Relationship Id="rId36" Type="http://schemas.openxmlformats.org/officeDocument/2006/relationships/hyperlink" Target="https://www.mun.ca/regoff/calendar/sectionNo=GRAD-0029" TargetMode="External"/><Relationship Id="rId10" Type="http://schemas.openxmlformats.org/officeDocument/2006/relationships/hyperlink" Target="mailto:pharminfo@mun.ca" TargetMode="External"/><Relationship Id="rId19" Type="http://schemas.openxmlformats.org/officeDocument/2006/relationships/hyperlink" Target="http://www.mun.ca/sgs/Appoint.Masters.pdf" TargetMode="External"/><Relationship Id="rId31" Type="http://schemas.openxmlformats.org/officeDocument/2006/relationships/hyperlink" Target="https://www.mun.ca/regoff/calendar/sectionNo=GRAD-0026" TargetMode="External"/><Relationship Id="rId4" Type="http://schemas.openxmlformats.org/officeDocument/2006/relationships/settings" Target="settings.xml"/><Relationship Id="rId9" Type="http://schemas.openxmlformats.org/officeDocument/2006/relationships/hyperlink" Target="https://www.mun.ca/become/graduate/programs/pharmacy.php" TargetMode="External"/><Relationship Id="rId14" Type="http://schemas.openxmlformats.org/officeDocument/2006/relationships/hyperlink" Target="https://www.mun.ca/sgs/thesis_deposit.pdf" TargetMode="External"/><Relationship Id="rId22" Type="http://schemas.openxmlformats.org/officeDocument/2006/relationships/hyperlink" Target="http://www.mun.ca/regoff/calendar/sectionNo=GRAD-0024" TargetMode="External"/><Relationship Id="rId27" Type="http://schemas.openxmlformats.org/officeDocument/2006/relationships/hyperlink" Target="https://www.mun.ca/sgs/copyright_fill.pdf" TargetMode="External"/><Relationship Id="rId30" Type="http://schemas.openxmlformats.org/officeDocument/2006/relationships/hyperlink" Target="http://www.mun.ca/sgs/Award.pdf" TargetMode="External"/><Relationship Id="rId35" Type="http://schemas.openxmlformats.org/officeDocument/2006/relationships/hyperlink" Target="https://www.mun.ca/regoff/calendar/sectionNo=GRAD-0015"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un.ca/health_safety/training/COursedeccriptionWHMIS.php" TargetMode="External"/><Relationship Id="rId17" Type="http://schemas.openxmlformats.org/officeDocument/2006/relationships/hyperlink" Target="http://www.mun.ca/sgs/Appoint.Masters.pdf" TargetMode="External"/><Relationship Id="rId25" Type="http://schemas.openxmlformats.org/officeDocument/2006/relationships/hyperlink" Target="https://www.mun.ca/sgs/thesis_deposit.pdf" TargetMode="External"/><Relationship Id="rId33" Type="http://schemas.openxmlformats.org/officeDocument/2006/relationships/hyperlink" Target="https://www.mun.ca/regoff/calendar/sectionNo=GRAD-0025"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5894-2479-46A7-B483-14252779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7424</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Graduate Studies-Policies-SOP-September-2015</vt:lpstr>
    </vt:vector>
  </TitlesOfParts>
  <Company>Memorial University</Company>
  <LinksUpToDate>false</LinksUpToDate>
  <CharactersWithSpaces>49642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Studies-Policies-SOP-September-2015</dc:title>
  <dc:creator>John T. Weber</dc:creator>
  <cp:lastModifiedBy>Microsoft Office User</cp:lastModifiedBy>
  <cp:revision>2</cp:revision>
  <cp:lastPrinted>2019-11-06T14:18:00Z</cp:lastPrinted>
  <dcterms:created xsi:type="dcterms:W3CDTF">2022-08-16T17:34:00Z</dcterms:created>
  <dcterms:modified xsi:type="dcterms:W3CDTF">2022-08-16T17:34:00Z</dcterms:modified>
</cp:coreProperties>
</file>