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2D63E7">
      <w:pPr>
        <w:tabs>
          <w:tab w:val="left" w:pos="567"/>
        </w:tabs>
        <w:ind w:left="567"/>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2E2CC6">
        <w:rPr>
          <w:b/>
        </w:rPr>
        <w:t xml:space="preserve">, </w:t>
      </w:r>
      <w:r w:rsidR="00136615">
        <w:rPr>
          <w:b/>
        </w:rPr>
        <w:t>September 18, 2017</w:t>
      </w:r>
    </w:p>
    <w:p w:rsidR="0055576E" w:rsidRPr="0055576E" w:rsidRDefault="0055576E" w:rsidP="0055576E"/>
    <w:p w:rsidR="004055F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59278D">
        <w:t xml:space="preserve">Dr. A. Surprenant (Chair), Dr. D. Farquharson, </w:t>
      </w:r>
      <w:r w:rsidR="002D63E7">
        <w:t xml:space="preserve">Dr. N. Kennedy, Dr. S. Roseman, </w:t>
      </w:r>
      <w:r w:rsidR="0059278D">
        <w:t>Dr. A. Hall, Dr. P. Coady, Dr. T. Brown, Dr. R. Shannahan, Dr. M. Gardner, Dr. R. Joy, Dr. S. Imtiaz, Mr. De. Howse, Dr. V. Madd</w:t>
      </w:r>
      <w:r w:rsidR="0005437E">
        <w:t>alena, Dr. J. Doré, Dr. E. Waterman, Dr. J.C. Loredo-Osti, Dr. C. Walsh, Dr. R. Klein (via teleconference); Mr. V. Roy Karmakar; Dr. M. Cheema (via teleconference); Mr. A. Johnson (Observer); Dr. E. Pittman; Ms. S. Perry-Maidment; Mr. H. Nejad</w:t>
      </w:r>
    </w:p>
    <w:p w:rsidR="00DD1832" w:rsidRDefault="00DD1832"/>
    <w:p w:rsidR="00E74889" w:rsidRDefault="00DD1832"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2D63E7">
        <w:t>Ms. J. Turner, V. Campbell; Dr. D. Moralejo; Mr. A. Alkasasbeh; Dr. S. Cadigan; Dr. F. Khan; Dr. C. Reynolds; Dr. J. Weber</w:t>
      </w:r>
    </w:p>
    <w:p w:rsidR="00DD1832" w:rsidRDefault="00DD1832"/>
    <w:p w:rsidR="004055F7" w:rsidRDefault="004055F7" w:rsidP="004055F7">
      <w:pPr>
        <w:pStyle w:val="ListParagraph"/>
        <w:numPr>
          <w:ilvl w:val="0"/>
          <w:numId w:val="1"/>
        </w:numPr>
      </w:pPr>
      <w:r>
        <w:t>MINUTES:</w:t>
      </w:r>
      <w:r>
        <w:tab/>
      </w:r>
    </w:p>
    <w:p w:rsidR="0023049E" w:rsidRDefault="0023049E" w:rsidP="0023049E">
      <w:pPr>
        <w:pStyle w:val="ListParagraph"/>
      </w:pPr>
    </w:p>
    <w:p w:rsidR="00654839" w:rsidRDefault="00654839" w:rsidP="0023049E">
      <w:pPr>
        <w:pStyle w:val="ListParagraph"/>
      </w:pPr>
      <w:r>
        <w:t xml:space="preserve">It was moved </w:t>
      </w:r>
      <w:r w:rsidR="00CB5C12">
        <w:t>by</w:t>
      </w:r>
      <w:r w:rsidR="00E74889">
        <w:tab/>
      </w:r>
      <w:r w:rsidR="006A4843">
        <w:t xml:space="preserve"> Dr. Roseman, and seconded by Dr. Cheema, that the minutes of the meeting held May 15, 2017, and July 25, 2017, be approved.  The motion</w:t>
      </w:r>
    </w:p>
    <w:p w:rsidR="006A4843" w:rsidRDefault="006A4843" w:rsidP="0023049E">
      <w:pPr>
        <w:pStyle w:val="ListParagraph"/>
      </w:pP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CB5C12" w:rsidRDefault="00CB5C12" w:rsidP="00CB5C12">
      <w:pPr>
        <w:pStyle w:val="ListParagraph"/>
      </w:pPr>
    </w:p>
    <w:p w:rsidR="006A4843" w:rsidRDefault="006A4843" w:rsidP="006A4843">
      <w:pPr>
        <w:pStyle w:val="ListParagraph"/>
        <w:numPr>
          <w:ilvl w:val="0"/>
          <w:numId w:val="31"/>
        </w:numPr>
      </w:pPr>
      <w:r>
        <w:t>At the regular meeting of Senate, September 12, 2017, five new graduate programs and one sub-specialty were approved.  A thank you was extended to members of Council, and to the review committees of all these programs for the hard work in preparing these documents for approval.  Thanks are extended as well to the staff of SGS for their work and input during the process.</w:t>
      </w:r>
    </w:p>
    <w:p w:rsidR="006A4843" w:rsidRDefault="006A4843" w:rsidP="006A4843"/>
    <w:p w:rsidR="00970485" w:rsidRDefault="00970485" w:rsidP="006A4843">
      <w:pPr>
        <w:pStyle w:val="ListParagraph"/>
        <w:numPr>
          <w:ilvl w:val="0"/>
          <w:numId w:val="31"/>
        </w:numPr>
      </w:pPr>
      <w:r>
        <w:t>Public Scholars Program is a new initiative that includes four workshops, in conjunction with the Harris Centre and other experienced faculty members.  These workshops will provide a forum to discuss issues and ideas.   The first workshop is scheduled for October 5</w:t>
      </w:r>
      <w:r w:rsidRPr="00970485">
        <w:rPr>
          <w:vertAlign w:val="superscript"/>
        </w:rPr>
        <w:t>th</w:t>
      </w:r>
      <w:r>
        <w:t xml:space="preserve">, entitled “Knowledge Mobilization and Why it Matters”.  </w:t>
      </w:r>
    </w:p>
    <w:p w:rsidR="00970485" w:rsidRDefault="00970485" w:rsidP="00970485">
      <w:pPr>
        <w:pStyle w:val="ListParagraph"/>
      </w:pPr>
    </w:p>
    <w:p w:rsidR="00970485" w:rsidRDefault="00970485" w:rsidP="00355B19">
      <w:pPr>
        <w:pStyle w:val="ListParagraph"/>
        <w:ind w:left="1080"/>
      </w:pPr>
      <w:r>
        <w:t xml:space="preserve"> If this initiative is successful, </w:t>
      </w:r>
      <w:r w:rsidR="00355B19">
        <w:t>other topics such as designation of the Fellow of the School of Graduate Studies will be discussed.</w:t>
      </w:r>
    </w:p>
    <w:p w:rsidR="00970485" w:rsidRDefault="00970485" w:rsidP="00970485">
      <w:pPr>
        <w:pStyle w:val="ListParagraph"/>
      </w:pPr>
    </w:p>
    <w:p w:rsidR="00970485" w:rsidRDefault="00970485" w:rsidP="00970485">
      <w:pPr>
        <w:pStyle w:val="ListParagraph"/>
        <w:numPr>
          <w:ilvl w:val="0"/>
          <w:numId w:val="31"/>
        </w:numPr>
      </w:pPr>
      <w:r>
        <w:t>SGS is initiating two new items in relation to the submission of a thesis.  Students will be required to submit a snapshot of their thesis research, and secondly, students whose thesis requires ethics approval will be asked to attach the ethics letter as an apppendix</w:t>
      </w:r>
    </w:p>
    <w:p w:rsidR="00970485" w:rsidRDefault="00970485" w:rsidP="00970485">
      <w:pPr>
        <w:pStyle w:val="ListParagraph"/>
        <w:ind w:left="1440"/>
      </w:pPr>
    </w:p>
    <w:p w:rsidR="00970485" w:rsidRPr="00355B19" w:rsidRDefault="00970485" w:rsidP="00970485">
      <w:pPr>
        <w:pStyle w:val="ListParagraph"/>
        <w:numPr>
          <w:ilvl w:val="0"/>
          <w:numId w:val="31"/>
        </w:numPr>
        <w:rPr>
          <w:szCs w:val="24"/>
        </w:rPr>
      </w:pPr>
      <w:r>
        <w:lastRenderedPageBreak/>
        <w:t xml:space="preserve">The University is revising its policy on Accommodations for Students with Disabilities.  It has been discussed that it is trickier at the graduate level with field work, lab work, </w:t>
      </w:r>
      <w:r w:rsidRPr="00355B19">
        <w:rPr>
          <w:szCs w:val="24"/>
        </w:rPr>
        <w:t>comprehensive examinations</w:t>
      </w:r>
      <w:r w:rsidR="00CB4DB5" w:rsidRPr="00355B19">
        <w:rPr>
          <w:szCs w:val="24"/>
        </w:rPr>
        <w:t xml:space="preserve">, and trying to lay out all of the parameters.  </w:t>
      </w:r>
      <w:r w:rsidR="007B0A59" w:rsidRPr="00355B19">
        <w:rPr>
          <w:rFonts w:cs="Shruti"/>
          <w:szCs w:val="24"/>
        </w:rPr>
        <w:t>We are being urged to start thinking of the learning outcomes of field work and comprehens</w:t>
      </w:r>
      <w:bookmarkStart w:id="0" w:name="_GoBack"/>
      <w:bookmarkEnd w:id="0"/>
      <w:r w:rsidR="007B0A59" w:rsidRPr="00355B19">
        <w:rPr>
          <w:rFonts w:cs="Shruti"/>
          <w:szCs w:val="24"/>
        </w:rPr>
        <w:t>ive examinations in particular, and encourage units to put these outcomes in writing – what you think the student will get out of this experience.  Dr. Cheema confirmed that for the BEAS program, they have written outcomes and will place them on the website.</w:t>
      </w:r>
    </w:p>
    <w:p w:rsidR="007B0A59" w:rsidRDefault="007B0A59" w:rsidP="007B0A59">
      <w:pPr>
        <w:pStyle w:val="ListParagraph"/>
      </w:pPr>
    </w:p>
    <w:p w:rsidR="007B0A59" w:rsidRDefault="007B0A59" w:rsidP="00970485">
      <w:pPr>
        <w:pStyle w:val="ListParagraph"/>
        <w:numPr>
          <w:ilvl w:val="0"/>
          <w:numId w:val="31"/>
        </w:numPr>
      </w:pPr>
      <w:r>
        <w:t>Following each Senate meeting, units will be notified of any items of business that are approved.</w:t>
      </w:r>
    </w:p>
    <w:p w:rsidR="007B0A59" w:rsidRDefault="007B0A59" w:rsidP="007B0A59">
      <w:pPr>
        <w:pStyle w:val="ListParagraph"/>
      </w:pPr>
    </w:p>
    <w:p w:rsidR="00307ED5" w:rsidRDefault="00307ED5" w:rsidP="00307ED5">
      <w:pPr>
        <w:pStyle w:val="ListParagraph"/>
        <w:ind w:left="1440"/>
      </w:pPr>
    </w:p>
    <w:p w:rsidR="00A13A0D" w:rsidRDefault="00A13A0D" w:rsidP="00A13A0D">
      <w:pPr>
        <w:pStyle w:val="ListParagraph"/>
        <w:numPr>
          <w:ilvl w:val="0"/>
          <w:numId w:val="1"/>
        </w:numPr>
      </w:pPr>
      <w:r>
        <w:t>REPORT OF THE GRADUATE STUDENTS’ UNION</w:t>
      </w:r>
    </w:p>
    <w:p w:rsidR="00F15C3F" w:rsidRDefault="00F15C3F" w:rsidP="00F15C3F">
      <w:pPr>
        <w:pStyle w:val="ListParagraph"/>
      </w:pPr>
    </w:p>
    <w:p w:rsidR="007B0A59" w:rsidRDefault="007B0A59" w:rsidP="007B0A59">
      <w:pPr>
        <w:pStyle w:val="ListParagraph"/>
        <w:numPr>
          <w:ilvl w:val="0"/>
          <w:numId w:val="33"/>
        </w:numPr>
      </w:pPr>
      <w:r>
        <w:t>The Executive Director of External Affairs, GSU, stated that due to the increase in complaints about supervisory relationships, the GSU has formed an ad hoc committee to review documents that currently exist, and receive feedback.  As this committee goes forward, the Academic Council will be kept informed.</w:t>
      </w:r>
    </w:p>
    <w:p w:rsidR="006D4C43" w:rsidRDefault="006D4C43" w:rsidP="00234EDC">
      <w:pPr>
        <w:pStyle w:val="ListParagraph"/>
        <w:ind w:left="1440"/>
      </w:pPr>
    </w:p>
    <w:p w:rsidR="00E14096" w:rsidRDefault="00E14096" w:rsidP="00E14096">
      <w:pPr>
        <w:pStyle w:val="ListParagraph"/>
        <w:numPr>
          <w:ilvl w:val="0"/>
          <w:numId w:val="1"/>
        </w:numPr>
      </w:pPr>
      <w:r>
        <w:t>STANDING COMMITTEES</w:t>
      </w:r>
    </w:p>
    <w:p w:rsidR="00E14096" w:rsidRDefault="00E14096" w:rsidP="00E14096"/>
    <w:p w:rsidR="00916334" w:rsidRDefault="00916334" w:rsidP="009A7A74">
      <w:pPr>
        <w:pStyle w:val="ListParagraph"/>
        <w:numPr>
          <w:ilvl w:val="0"/>
          <w:numId w:val="3"/>
        </w:numPr>
      </w:pPr>
      <w:r>
        <w:t>Academic Council Executive</w:t>
      </w:r>
    </w:p>
    <w:p w:rsidR="00B91A75" w:rsidRDefault="00B91A75" w:rsidP="00B91A75">
      <w:pPr>
        <w:pStyle w:val="ListParagraph"/>
        <w:ind w:left="1080"/>
      </w:pPr>
    </w:p>
    <w:p w:rsidR="00B91A75" w:rsidRDefault="00B91A75" w:rsidP="00B91A75">
      <w:pPr>
        <w:pStyle w:val="ListParagraph"/>
        <w:numPr>
          <w:ilvl w:val="0"/>
          <w:numId w:val="34"/>
        </w:numPr>
      </w:pPr>
      <w:r>
        <w:t>School of Graduate Studies – General Regulation 4.3.4</w:t>
      </w:r>
    </w:p>
    <w:p w:rsidR="00B91A75" w:rsidRDefault="00B91A75" w:rsidP="00B91A75">
      <w:pPr>
        <w:pStyle w:val="ListParagraph"/>
        <w:ind w:left="1800"/>
      </w:pPr>
    </w:p>
    <w:p w:rsidR="00B91A75" w:rsidRDefault="00E96C13" w:rsidP="00B91A75">
      <w:pPr>
        <w:pStyle w:val="ListParagraph"/>
        <w:ind w:left="1800"/>
      </w:pPr>
      <w:r>
        <w:t xml:space="preserve">The School of Graduate Studies is requesting approval of general regulation 4.3.4 governing ‘Changes in Course Registrations’.  The revision is to align with the undergraduate regulation revision which will change the last day to drop courses without academic prejudice in a given semester, to reflect modifications </w:t>
      </w:r>
      <w:r w:rsidR="00BC4ACB">
        <w:t>that are being made to accommodate the week-long winter semester break; and to further accommodate the feedback period and return of 20% of evaluation prior to the drop date.  Further details were outlined in the memo circulated by the Registrar’s Office.</w:t>
      </w:r>
    </w:p>
    <w:p w:rsidR="00BC4ACB" w:rsidRDefault="00BC4ACB" w:rsidP="00B91A75">
      <w:pPr>
        <w:pStyle w:val="ListParagraph"/>
        <w:ind w:left="1800"/>
      </w:pPr>
    </w:p>
    <w:p w:rsidR="00BC4ACB" w:rsidRDefault="00BC4ACB" w:rsidP="00B91A75">
      <w:pPr>
        <w:pStyle w:val="ListParagraph"/>
        <w:ind w:left="1800"/>
      </w:pPr>
      <w:r>
        <w:t>It was moved by Dr. Pittman, and seconded by Dr. Coady, that the proposed revision be approved.  The motion</w:t>
      </w:r>
    </w:p>
    <w:p w:rsidR="00BC4ACB" w:rsidRDefault="00BC4ACB" w:rsidP="00BC4ACB">
      <w:pPr>
        <w:pStyle w:val="ListParagraph"/>
        <w:tabs>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ind w:left="1800"/>
      </w:pPr>
      <w:r>
        <w:tab/>
      </w:r>
      <w:r>
        <w:tab/>
      </w:r>
      <w:r>
        <w:tab/>
      </w:r>
      <w:r>
        <w:tab/>
      </w:r>
      <w:r>
        <w:tab/>
      </w:r>
      <w:r>
        <w:tab/>
      </w:r>
      <w:r>
        <w:tab/>
      </w:r>
      <w:r>
        <w:tab/>
      </w:r>
      <w:r>
        <w:tab/>
      </w:r>
      <w:r>
        <w:tab/>
      </w:r>
      <w:r>
        <w:tab/>
      </w:r>
      <w:r>
        <w:tab/>
        <w:t>CARRIED</w:t>
      </w:r>
    </w:p>
    <w:p w:rsidR="00BC4ACB" w:rsidRDefault="00BC4ACB" w:rsidP="00BC4ACB">
      <w:pPr>
        <w:pStyle w:val="ListParagraph"/>
        <w:tabs>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ind w:left="1800"/>
      </w:pPr>
      <w:r>
        <w:t>The revised regulation will now read:</w:t>
      </w:r>
    </w:p>
    <w:p w:rsidR="00BC4ACB" w:rsidRDefault="00BC4ACB" w:rsidP="00BC4ACB">
      <w:pPr>
        <w:pStyle w:val="ListParagraph"/>
        <w:tabs>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ind w:left="1800"/>
      </w:pPr>
    </w:p>
    <w:p w:rsidR="009B5DF2" w:rsidRPr="00E97F8A" w:rsidRDefault="009B5DF2" w:rsidP="009B5DF2">
      <w:pPr>
        <w:shd w:val="clear" w:color="auto" w:fill="FFFFFF"/>
        <w:spacing w:line="264" w:lineRule="atLeast"/>
        <w:ind w:left="1276"/>
        <w:rPr>
          <w:rFonts w:ascii="Verdana" w:eastAsia="Times New Roman" w:hAnsi="Verdana" w:cs="Times New Roman"/>
          <w:b/>
          <w:bCs/>
          <w:color w:val="990000"/>
          <w:sz w:val="20"/>
          <w:szCs w:val="20"/>
        </w:rPr>
      </w:pPr>
      <w:r w:rsidRPr="00E97F8A">
        <w:rPr>
          <w:rFonts w:ascii="Verdana" w:eastAsia="Times New Roman" w:hAnsi="Verdana" w:cs="Times New Roman"/>
          <w:b/>
          <w:bCs/>
          <w:color w:val="990000"/>
          <w:sz w:val="20"/>
          <w:szCs w:val="20"/>
        </w:rPr>
        <w:t>4.3.4 Changes in Course Registrations</w:t>
      </w:r>
      <w:bookmarkStart w:id="1" w:name="GRAD-6506"/>
      <w:bookmarkEnd w:id="1"/>
      <w:r w:rsidRPr="00E97F8A">
        <w:rPr>
          <w:rFonts w:ascii="Verdana" w:eastAsia="Times New Roman" w:hAnsi="Verdana" w:cs="Times New Roman"/>
          <w:b/>
          <w:bCs/>
          <w:color w:val="990000"/>
          <w:sz w:val="20"/>
          <w:szCs w:val="20"/>
        </w:rPr>
        <w:t xml:space="preserve"> </w:t>
      </w:r>
    </w:p>
    <w:p w:rsidR="009B5DF2" w:rsidRPr="00E97F8A" w:rsidRDefault="009B5DF2" w:rsidP="009B5DF2">
      <w:pPr>
        <w:shd w:val="clear" w:color="auto" w:fill="FFFFFF"/>
        <w:spacing w:after="15" w:line="360" w:lineRule="atLeast"/>
        <w:ind w:left="1276"/>
        <w:rPr>
          <w:rFonts w:ascii="Verdana" w:eastAsia="Times New Roman" w:hAnsi="Verdana" w:cs="Times New Roman"/>
          <w:i/>
          <w:iCs/>
          <w:sz w:val="16"/>
          <w:szCs w:val="16"/>
        </w:rPr>
      </w:pPr>
      <w:r w:rsidRPr="00E97F8A">
        <w:rPr>
          <w:rFonts w:ascii="Verdana" w:eastAsia="Times New Roman" w:hAnsi="Verdana" w:cs="Times New Roman"/>
          <w:b/>
          <w:bCs/>
          <w:i/>
          <w:iCs/>
          <w:sz w:val="16"/>
          <w:szCs w:val="16"/>
        </w:rPr>
        <w:t>Note:</w:t>
      </w:r>
      <w:r w:rsidRPr="00E97F8A">
        <w:rPr>
          <w:rFonts w:ascii="Verdana" w:eastAsia="Times New Roman" w:hAnsi="Verdana" w:cs="Times New Roman"/>
          <w:i/>
          <w:iCs/>
          <w:sz w:val="16"/>
          <w:szCs w:val="16"/>
        </w:rPr>
        <w:t xml:space="preserve"> </w:t>
      </w:r>
    </w:p>
    <w:p w:rsidR="009B5DF2" w:rsidRPr="00E97F8A" w:rsidRDefault="009B5DF2" w:rsidP="009B5DF2">
      <w:pPr>
        <w:shd w:val="clear" w:color="auto" w:fill="FFFFFF"/>
        <w:spacing w:after="15" w:line="360" w:lineRule="atLeast"/>
        <w:ind w:left="1276"/>
        <w:rPr>
          <w:rFonts w:ascii="Verdana" w:eastAsia="Times New Roman" w:hAnsi="Verdana" w:cs="Times New Roman"/>
          <w:i/>
          <w:iCs/>
          <w:sz w:val="16"/>
          <w:szCs w:val="16"/>
        </w:rPr>
      </w:pPr>
      <w:r w:rsidRPr="00E97F8A">
        <w:rPr>
          <w:rFonts w:ascii="Verdana" w:eastAsia="Times New Roman" w:hAnsi="Verdana" w:cs="Times New Roman"/>
          <w:i/>
          <w:iCs/>
          <w:sz w:val="16"/>
          <w:szCs w:val="16"/>
        </w:rPr>
        <w:t xml:space="preserve">For interdisciplinary programs, the Head of the academic unit is the Dean or Director of the Faculty/School administering the program. </w:t>
      </w:r>
    </w:p>
    <w:p w:rsidR="009B5DF2" w:rsidRPr="00E97F8A" w:rsidRDefault="009B5DF2" w:rsidP="009B5DF2">
      <w:pPr>
        <w:numPr>
          <w:ilvl w:val="0"/>
          <w:numId w:val="35"/>
        </w:numPr>
        <w:shd w:val="clear" w:color="auto" w:fill="FFFFFF"/>
        <w:tabs>
          <w:tab w:val="left" w:pos="1701"/>
        </w:tabs>
        <w:spacing w:after="15" w:line="288" w:lineRule="atLeast"/>
        <w:ind w:left="1701" w:hanging="425"/>
        <w:rPr>
          <w:rFonts w:ascii="Verdana" w:eastAsia="Times New Roman" w:hAnsi="Verdana" w:cs="Times New Roman"/>
          <w:sz w:val="17"/>
          <w:szCs w:val="17"/>
        </w:rPr>
      </w:pPr>
      <w:r w:rsidRPr="00E97F8A">
        <w:rPr>
          <w:rFonts w:ascii="Verdana" w:eastAsia="Times New Roman" w:hAnsi="Verdana" w:cs="Times New Roman"/>
          <w:sz w:val="17"/>
          <w:szCs w:val="17"/>
        </w:rPr>
        <w:t xml:space="preserve">Within two weeks following the first day of lectures in any semester, as stated in the </w:t>
      </w:r>
      <w:hyperlink r:id="rId7" w:history="1">
        <w:r w:rsidRPr="00E97F8A">
          <w:rPr>
            <w:rFonts w:ascii="Verdana" w:eastAsia="Times New Roman" w:hAnsi="Verdana" w:cs="Times New Roman"/>
            <w:b/>
            <w:bCs/>
            <w:color w:val="990000"/>
            <w:sz w:val="17"/>
            <w:szCs w:val="17"/>
          </w:rPr>
          <w:t>University Diary</w:t>
        </w:r>
      </w:hyperlink>
      <w:r w:rsidRPr="00E97F8A">
        <w:rPr>
          <w:rFonts w:ascii="Verdana" w:eastAsia="Times New Roman" w:hAnsi="Verdana" w:cs="Times New Roman"/>
          <w:sz w:val="17"/>
          <w:szCs w:val="17"/>
        </w:rPr>
        <w:t xml:space="preserve">, a graduate student may, upon the approval of the appropriate Head of academic unit, add a course or courses to his or her registration for that semester. </w:t>
      </w:r>
    </w:p>
    <w:p w:rsidR="009B5DF2" w:rsidRPr="00E97F8A" w:rsidRDefault="009B5DF2" w:rsidP="009B5DF2">
      <w:pPr>
        <w:numPr>
          <w:ilvl w:val="0"/>
          <w:numId w:val="35"/>
        </w:numPr>
        <w:shd w:val="clear" w:color="auto" w:fill="FFFFFF"/>
        <w:spacing w:after="15" w:line="288" w:lineRule="atLeast"/>
        <w:ind w:left="1701" w:hanging="425"/>
        <w:rPr>
          <w:rFonts w:ascii="Verdana" w:eastAsia="Times New Roman" w:hAnsi="Verdana" w:cs="Times New Roman"/>
          <w:sz w:val="17"/>
          <w:szCs w:val="17"/>
        </w:rPr>
      </w:pPr>
      <w:r w:rsidRPr="00E97F8A">
        <w:rPr>
          <w:rFonts w:ascii="Verdana" w:eastAsia="Times New Roman" w:hAnsi="Verdana" w:cs="Times New Roman"/>
          <w:sz w:val="17"/>
          <w:szCs w:val="17"/>
        </w:rPr>
        <w:lastRenderedPageBreak/>
        <w:t xml:space="preserve">Within </w:t>
      </w:r>
      <w:r w:rsidRPr="00E97F8A">
        <w:rPr>
          <w:rFonts w:ascii="Verdana" w:eastAsia="Times New Roman" w:hAnsi="Verdana" w:cs="Times New Roman"/>
          <w:strike/>
          <w:sz w:val="17"/>
          <w:szCs w:val="17"/>
        </w:rPr>
        <w:t>seven</w:t>
      </w:r>
      <w:r w:rsidRPr="00E97F8A">
        <w:rPr>
          <w:rFonts w:ascii="Verdana" w:eastAsia="Times New Roman" w:hAnsi="Verdana" w:cs="Times New Roman"/>
          <w:sz w:val="17"/>
          <w:szCs w:val="17"/>
        </w:rPr>
        <w:t xml:space="preserve"> </w:t>
      </w:r>
      <w:r w:rsidRPr="00E97F8A">
        <w:rPr>
          <w:rFonts w:ascii="Verdana" w:eastAsia="Times New Roman" w:hAnsi="Verdana" w:cs="Times New Roman"/>
          <w:sz w:val="17"/>
          <w:szCs w:val="17"/>
          <w:u w:val="single"/>
        </w:rPr>
        <w:t>eight</w:t>
      </w:r>
      <w:r>
        <w:rPr>
          <w:rFonts w:ascii="Verdana" w:eastAsia="Times New Roman" w:hAnsi="Verdana" w:cs="Times New Roman"/>
          <w:sz w:val="17"/>
          <w:szCs w:val="17"/>
        </w:rPr>
        <w:t xml:space="preserve"> </w:t>
      </w:r>
      <w:r w:rsidRPr="00E97F8A">
        <w:rPr>
          <w:rFonts w:ascii="Verdana" w:eastAsia="Times New Roman" w:hAnsi="Verdana" w:cs="Times New Roman"/>
          <w:sz w:val="17"/>
          <w:szCs w:val="17"/>
        </w:rPr>
        <w:t xml:space="preserve">weeks after the first day of lectures in any semester, as stated in the </w:t>
      </w:r>
      <w:hyperlink r:id="rId8" w:history="1">
        <w:r w:rsidRPr="00E97F8A">
          <w:rPr>
            <w:rFonts w:ascii="Verdana" w:eastAsia="Times New Roman" w:hAnsi="Verdana" w:cs="Times New Roman"/>
            <w:b/>
            <w:bCs/>
            <w:color w:val="990000"/>
            <w:sz w:val="17"/>
            <w:szCs w:val="17"/>
          </w:rPr>
          <w:t>University Diary</w:t>
        </w:r>
      </w:hyperlink>
      <w:r w:rsidRPr="00E97F8A">
        <w:rPr>
          <w:rFonts w:ascii="Verdana" w:eastAsia="Times New Roman" w:hAnsi="Verdana" w:cs="Times New Roman"/>
          <w:sz w:val="17"/>
          <w:szCs w:val="17"/>
        </w:rPr>
        <w:t xml:space="preserve">, a graduate student may, upon the approval of the appropriate Head of academic unit, drop a course or courses from his or her registration for that semester without prejudice. </w:t>
      </w:r>
    </w:p>
    <w:p w:rsidR="009B5DF2" w:rsidRPr="00E97F8A" w:rsidRDefault="009B5DF2" w:rsidP="009B5DF2">
      <w:pPr>
        <w:numPr>
          <w:ilvl w:val="0"/>
          <w:numId w:val="35"/>
        </w:numPr>
        <w:shd w:val="clear" w:color="auto" w:fill="FFFFFF"/>
        <w:spacing w:after="15" w:line="288" w:lineRule="atLeast"/>
        <w:ind w:left="1701" w:hanging="425"/>
        <w:rPr>
          <w:rFonts w:ascii="Verdana" w:eastAsia="Times New Roman" w:hAnsi="Verdana" w:cs="Times New Roman"/>
          <w:sz w:val="17"/>
          <w:szCs w:val="17"/>
        </w:rPr>
      </w:pPr>
      <w:r w:rsidRPr="00E97F8A">
        <w:rPr>
          <w:rFonts w:ascii="Verdana" w:eastAsia="Times New Roman" w:hAnsi="Verdana" w:cs="Times New Roman"/>
          <w:sz w:val="17"/>
          <w:szCs w:val="17"/>
        </w:rPr>
        <w:t xml:space="preserve">After the period described in 2. above has expired, and up until the last day of lectures, any student who is prevented from completing a course by illness, bereavement or other acceptable cause, duly authenticated in writing may, upon the recommendation of the Head of the appropriate academic unit, drop that course without academic prejudice. </w:t>
      </w:r>
    </w:p>
    <w:p w:rsidR="009B5DF2" w:rsidRPr="00E97F8A" w:rsidRDefault="009B5DF2" w:rsidP="009B5DF2">
      <w:pPr>
        <w:shd w:val="clear" w:color="auto" w:fill="FFFFFF"/>
        <w:spacing w:after="15" w:line="360" w:lineRule="atLeast"/>
        <w:ind w:left="1276"/>
        <w:rPr>
          <w:rFonts w:ascii="Verdana" w:eastAsia="Times New Roman" w:hAnsi="Verdana" w:cs="Times New Roman"/>
          <w:i/>
          <w:iCs/>
          <w:sz w:val="16"/>
          <w:szCs w:val="16"/>
        </w:rPr>
      </w:pPr>
      <w:r w:rsidRPr="00E97F8A">
        <w:rPr>
          <w:rFonts w:ascii="Verdana" w:eastAsia="Times New Roman" w:hAnsi="Verdana" w:cs="Times New Roman"/>
          <w:b/>
          <w:bCs/>
          <w:i/>
          <w:iCs/>
          <w:sz w:val="16"/>
          <w:szCs w:val="16"/>
        </w:rPr>
        <w:t>Note:</w:t>
      </w:r>
      <w:r w:rsidRPr="00E97F8A">
        <w:rPr>
          <w:rFonts w:ascii="Verdana" w:eastAsia="Times New Roman" w:hAnsi="Verdana" w:cs="Times New Roman"/>
          <w:i/>
          <w:iCs/>
          <w:sz w:val="16"/>
          <w:szCs w:val="16"/>
        </w:rPr>
        <w:t xml:space="preserve"> </w:t>
      </w:r>
    </w:p>
    <w:p w:rsidR="009B5DF2" w:rsidRPr="00E97F8A" w:rsidRDefault="009B5DF2" w:rsidP="009B5DF2">
      <w:pPr>
        <w:shd w:val="clear" w:color="auto" w:fill="FFFFFF"/>
        <w:spacing w:after="15" w:line="360" w:lineRule="atLeast"/>
        <w:ind w:left="1276"/>
        <w:rPr>
          <w:rFonts w:ascii="Verdana" w:eastAsia="Times New Roman" w:hAnsi="Verdana" w:cs="Times New Roman"/>
          <w:i/>
          <w:iCs/>
          <w:sz w:val="16"/>
          <w:szCs w:val="16"/>
        </w:rPr>
      </w:pPr>
      <w:r w:rsidRPr="00E97F8A">
        <w:rPr>
          <w:rFonts w:ascii="Verdana" w:eastAsia="Times New Roman" w:hAnsi="Verdana" w:cs="Times New Roman"/>
          <w:i/>
          <w:iCs/>
          <w:sz w:val="16"/>
          <w:szCs w:val="16"/>
        </w:rPr>
        <w:t xml:space="preserve">A course cannot be dropped after the last day of lectures without the approval of the Dean of Graduate Studies. </w:t>
      </w:r>
    </w:p>
    <w:p w:rsidR="009B5DF2" w:rsidRDefault="009B5DF2" w:rsidP="009B5DF2">
      <w:pPr>
        <w:ind w:left="1276"/>
      </w:pPr>
    </w:p>
    <w:p w:rsidR="00BC4ACB" w:rsidRDefault="009B5DF2" w:rsidP="009B5DF2">
      <w:pPr>
        <w:pStyle w:val="ListParagraph"/>
        <w:numPr>
          <w:ilvl w:val="0"/>
          <w:numId w:val="33"/>
        </w:numPr>
        <w:tabs>
          <w:tab w:val="left" w:pos="1276"/>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pPr>
      <w:r>
        <w:t>Nomination Committee</w:t>
      </w:r>
    </w:p>
    <w:p w:rsidR="009B5DF2" w:rsidRPr="002A23BE" w:rsidRDefault="009B5DF2" w:rsidP="009B5DF2">
      <w:pPr>
        <w:pStyle w:val="ListParagraph"/>
        <w:tabs>
          <w:tab w:val="left" w:pos="1276"/>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ind w:left="1080"/>
        <w:rPr>
          <w:szCs w:val="24"/>
        </w:rPr>
      </w:pPr>
    </w:p>
    <w:p w:rsidR="002A23BE" w:rsidRPr="002A23BE" w:rsidRDefault="002A23BE" w:rsidP="002A23BE">
      <w:pPr>
        <w:pStyle w:val="ListParagraph"/>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ind w:left="993" w:right="-691"/>
        <w:rPr>
          <w:rFonts w:eastAsiaTheme="minorEastAsia" w:cs="Shruti"/>
          <w:szCs w:val="24"/>
        </w:rPr>
      </w:pPr>
      <w:r w:rsidRPr="002A23BE">
        <w:rPr>
          <w:szCs w:val="24"/>
        </w:rPr>
        <w:t xml:space="preserve">It was moved by Dr. Coady, and seconded by Dr. Loredo-Osti, that the proposed slate of names </w:t>
      </w:r>
      <w:r w:rsidRPr="002A23BE">
        <w:rPr>
          <w:rFonts w:eastAsiaTheme="minorEastAsia" w:cs="Shruti"/>
          <w:szCs w:val="24"/>
        </w:rPr>
        <w:t>for the Standing Committees of Academic Council, 2017-2018, be approved as following?</w:t>
      </w: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r w:rsidRPr="002A23BE">
        <w:rPr>
          <w:rFonts w:eastAsiaTheme="minorEastAsia" w:cs="Shruti"/>
          <w:szCs w:val="24"/>
        </w:rPr>
        <w:t>Academic Council Executive</w:t>
      </w:r>
    </w:p>
    <w:p w:rsidR="002A23BE" w:rsidRPr="002A23BE" w:rsidRDefault="002A23BE" w:rsidP="002A23BE">
      <w:pPr>
        <w:widowControl w:val="0"/>
        <w:numPr>
          <w:ilvl w:val="0"/>
          <w:numId w:val="36"/>
        </w:numPr>
        <w:tabs>
          <w:tab w:val="left" w:pos="540"/>
          <w:tab w:val="left" w:pos="993"/>
          <w:tab w:val="left" w:pos="1134"/>
          <w:tab w:val="left" w:pos="1418"/>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Aimée Surprenant (Chair and Dean, Graduate Studies)</w:t>
      </w:r>
    </w:p>
    <w:p w:rsidR="002A23BE" w:rsidRPr="002A23BE" w:rsidRDefault="002A23BE" w:rsidP="002A23BE">
      <w:pPr>
        <w:widowControl w:val="0"/>
        <w:numPr>
          <w:ilvl w:val="0"/>
          <w:numId w:val="36"/>
        </w:numPr>
        <w:tabs>
          <w:tab w:val="left" w:pos="540"/>
          <w:tab w:val="left" w:pos="993"/>
          <w:tab w:val="left" w:pos="1134"/>
          <w:tab w:val="left" w:pos="1418"/>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Danine Farquharson (Associate Dena, Graduate Studies)</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Faisal Khan (Engineering and Applied Science)</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J.C. Loredo-Osti (Mathematics &amp; Statistics)</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Echo Pittman (Registrar’s Office)</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Peggy Coady (Business Administration)</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Graduate Student Representative</w:t>
      </w: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r w:rsidRPr="002A23BE">
        <w:rPr>
          <w:rFonts w:eastAsiaTheme="minorEastAsia" w:cs="Shruti"/>
          <w:szCs w:val="24"/>
        </w:rPr>
        <w:t>Appeals Committee</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Peggy Coady (Business Administration)</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Danine Farquharson (Graduate Studies – Ex-officio Member)</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Kapil Tahlan (Biology)</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Mumtaz Cheema (Grenfell Campus)</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Rhonda Joy (Education)</w:t>
      </w:r>
    </w:p>
    <w:p w:rsidR="002A23BE" w:rsidRPr="002A23BE" w:rsidRDefault="002A23BE" w:rsidP="002A23BE">
      <w:pPr>
        <w:widowControl w:val="0"/>
        <w:numPr>
          <w:ilvl w:val="0"/>
          <w:numId w:val="36"/>
        </w:num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firstLine="0"/>
        <w:rPr>
          <w:rFonts w:eastAsiaTheme="minorEastAsia" w:cs="Shruti"/>
          <w:szCs w:val="24"/>
        </w:rPr>
      </w:pPr>
      <w:r w:rsidRPr="002A23BE">
        <w:rPr>
          <w:rFonts w:eastAsiaTheme="minorEastAsia" w:cs="Shruti"/>
          <w:szCs w:val="24"/>
        </w:rPr>
        <w:t>Graduate Student Representative</w:t>
      </w: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r w:rsidRPr="002A23BE">
        <w:rPr>
          <w:rFonts w:eastAsiaTheme="minorEastAsia" w:cs="Shruti"/>
          <w:szCs w:val="24"/>
        </w:rPr>
        <w:t>Secretary to the Academic Council</w:t>
      </w:r>
      <w:r>
        <w:rPr>
          <w:rFonts w:eastAsiaTheme="minorEastAsia" w:cs="Shruti"/>
          <w:szCs w:val="24"/>
        </w:rPr>
        <w:t xml:space="preserve"> – Dr. Echo Pittman, Registrar’s Office</w:t>
      </w: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993" w:right="-691"/>
        <w:rPr>
          <w:rFonts w:eastAsiaTheme="minorEastAsia" w:cs="Shruti"/>
          <w:szCs w:val="24"/>
        </w:rPr>
      </w:pPr>
    </w:p>
    <w:p w:rsidR="002A23BE" w:rsidRPr="002A23BE" w:rsidRDefault="002A23BE" w:rsidP="002A23BE">
      <w:pPr>
        <w:tabs>
          <w:tab w:val="left" w:pos="540"/>
          <w:tab w:val="left" w:pos="993"/>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sidRPr="002A23BE">
        <w:rPr>
          <w:rFonts w:eastAsiaTheme="minorEastAsia" w:cs="Shruti"/>
          <w:szCs w:val="24"/>
        </w:rPr>
        <w:tab/>
      </w:r>
      <w:r w:rsidRPr="002A23BE">
        <w:rPr>
          <w:rFonts w:eastAsiaTheme="minorEastAsia" w:cs="Shruti"/>
          <w:szCs w:val="24"/>
        </w:rPr>
        <w:tab/>
        <w:t xml:space="preserve">Awards and Medals </w:t>
      </w:r>
    </w:p>
    <w:p w:rsidR="002A23BE" w:rsidRPr="002A23BE" w:rsidRDefault="002A23BE" w:rsidP="002A23BE">
      <w:pPr>
        <w:widowControl w:val="0"/>
        <w:numPr>
          <w:ilvl w:val="0"/>
          <w:numId w:val="36"/>
        </w:num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134" w:right="-691" w:hanging="141"/>
        <w:rPr>
          <w:rFonts w:eastAsiaTheme="minorEastAsia" w:cs="Shruti"/>
          <w:szCs w:val="24"/>
        </w:rPr>
      </w:pPr>
      <w:r w:rsidRPr="002A23BE">
        <w:rPr>
          <w:rFonts w:eastAsiaTheme="minorEastAsia" w:cs="Shruti"/>
          <w:szCs w:val="24"/>
        </w:rPr>
        <w:t>Kelly Hawboldt (Engineering and Applied Science)</w:t>
      </w:r>
    </w:p>
    <w:p w:rsidR="002A23BE" w:rsidRPr="002A23BE" w:rsidRDefault="002A23BE" w:rsidP="002A23BE">
      <w:pPr>
        <w:widowControl w:val="0"/>
        <w:numPr>
          <w:ilvl w:val="0"/>
          <w:numId w:val="36"/>
        </w:num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134" w:right="-691" w:hanging="141"/>
        <w:rPr>
          <w:rFonts w:eastAsiaTheme="minorEastAsia" w:cs="Shruti"/>
          <w:szCs w:val="24"/>
        </w:rPr>
      </w:pPr>
      <w:r w:rsidRPr="002A23BE">
        <w:rPr>
          <w:rFonts w:eastAsiaTheme="minorEastAsia" w:cs="Shruti"/>
          <w:szCs w:val="24"/>
        </w:rPr>
        <w:t>Tom Cooper (Business Administration)</w:t>
      </w:r>
    </w:p>
    <w:p w:rsidR="002A23BE" w:rsidRPr="002A23BE" w:rsidRDefault="002A23BE" w:rsidP="002A23BE">
      <w:pPr>
        <w:widowControl w:val="0"/>
        <w:numPr>
          <w:ilvl w:val="0"/>
          <w:numId w:val="36"/>
        </w:num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134" w:right="-691" w:hanging="141"/>
        <w:rPr>
          <w:rFonts w:eastAsiaTheme="minorEastAsia" w:cs="Shruti"/>
          <w:szCs w:val="24"/>
        </w:rPr>
      </w:pPr>
      <w:r w:rsidRPr="002A23BE">
        <w:rPr>
          <w:rFonts w:eastAsiaTheme="minorEastAsia" w:cs="Shruti"/>
          <w:szCs w:val="24"/>
        </w:rPr>
        <w:t>Sharene Bungay (Computer Science)</w:t>
      </w:r>
    </w:p>
    <w:p w:rsidR="002A23BE" w:rsidRPr="002A23BE" w:rsidRDefault="002A23BE" w:rsidP="002A23BE">
      <w:pPr>
        <w:widowControl w:val="0"/>
        <w:numPr>
          <w:ilvl w:val="0"/>
          <w:numId w:val="36"/>
        </w:num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134" w:right="-691" w:hanging="141"/>
        <w:rPr>
          <w:rFonts w:eastAsiaTheme="minorEastAsia" w:cs="Shruti"/>
          <w:szCs w:val="24"/>
        </w:rPr>
      </w:pPr>
      <w:r w:rsidRPr="002A23BE">
        <w:rPr>
          <w:rFonts w:eastAsiaTheme="minorEastAsia" w:cs="Shruti"/>
          <w:szCs w:val="24"/>
        </w:rPr>
        <w:t>Jennifer Dyer (Gender Studies)</w:t>
      </w:r>
    </w:p>
    <w:p w:rsidR="002A23BE" w:rsidRDefault="002A23BE" w:rsidP="002A23BE">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440" w:right="-408" w:hanging="447"/>
        <w:rPr>
          <w:rFonts w:eastAsiaTheme="minorEastAsia" w:cs="Shruti"/>
          <w:szCs w:val="24"/>
        </w:rPr>
      </w:pPr>
    </w:p>
    <w:p w:rsidR="002A23BE" w:rsidRDefault="002A23BE" w:rsidP="002A23BE">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408"/>
        <w:rPr>
          <w:rFonts w:eastAsiaTheme="minorEastAsia" w:cs="Shruti"/>
          <w:szCs w:val="24"/>
        </w:rPr>
      </w:pPr>
      <w:r>
        <w:rPr>
          <w:rFonts w:eastAsiaTheme="minorEastAsia" w:cs="Shruti"/>
          <w:szCs w:val="24"/>
        </w:rPr>
        <w:tab/>
      </w:r>
      <w:r>
        <w:rPr>
          <w:rFonts w:eastAsiaTheme="minorEastAsia" w:cs="Shruti"/>
          <w:szCs w:val="24"/>
        </w:rPr>
        <w:tab/>
        <w:t>The motion</w:t>
      </w:r>
    </w:p>
    <w:p w:rsidR="002A23BE" w:rsidRPr="002A23BE" w:rsidRDefault="002A23BE" w:rsidP="002A23BE">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408"/>
        <w:rPr>
          <w:rFonts w:eastAsiaTheme="minorEastAsia" w:cs="Shruti"/>
          <w:sz w:val="22"/>
          <w:szCs w:val="24"/>
        </w:rPr>
      </w:pP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r>
      <w:r>
        <w:rPr>
          <w:rFonts w:eastAsiaTheme="minorEastAsia" w:cs="Shruti"/>
          <w:szCs w:val="24"/>
        </w:rPr>
        <w:tab/>
        <w:t>CARRIED</w:t>
      </w:r>
    </w:p>
    <w:p w:rsidR="009B5DF2" w:rsidRDefault="009B5DF2" w:rsidP="009B5DF2">
      <w:pPr>
        <w:pStyle w:val="ListParagraph"/>
        <w:tabs>
          <w:tab w:val="left" w:pos="1276"/>
          <w:tab w:val="left" w:pos="2268"/>
          <w:tab w:val="left" w:pos="2552"/>
          <w:tab w:val="left" w:pos="2835"/>
          <w:tab w:val="left" w:pos="3402"/>
          <w:tab w:val="left" w:pos="3686"/>
          <w:tab w:val="left" w:pos="3969"/>
          <w:tab w:val="left" w:pos="4536"/>
          <w:tab w:val="left" w:pos="5103"/>
          <w:tab w:val="left" w:pos="5670"/>
          <w:tab w:val="left" w:pos="6237"/>
          <w:tab w:val="left" w:pos="7371"/>
          <w:tab w:val="left" w:pos="7655"/>
          <w:tab w:val="left" w:pos="8222"/>
          <w:tab w:val="left" w:pos="8505"/>
        </w:tabs>
        <w:ind w:left="1080"/>
      </w:pPr>
    </w:p>
    <w:p w:rsidR="00916334" w:rsidRDefault="00916334" w:rsidP="00916334">
      <w:pPr>
        <w:pStyle w:val="ListParagraph"/>
        <w:ind w:left="1080"/>
      </w:pPr>
    </w:p>
    <w:p w:rsidR="006A56BB" w:rsidRDefault="006D4C43" w:rsidP="00AA7713">
      <w:pPr>
        <w:pStyle w:val="ListParagraph"/>
        <w:numPr>
          <w:ilvl w:val="0"/>
          <w:numId w:val="1"/>
        </w:numPr>
        <w:tabs>
          <w:tab w:val="left" w:pos="1418"/>
        </w:tabs>
      </w:pPr>
      <w:r>
        <w:tab/>
      </w:r>
      <w:r w:rsidR="006A56BB">
        <w:t>ANY OTHER BUSINESS</w:t>
      </w: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6A56BB" w:rsidRDefault="006A56BB" w:rsidP="00136615">
      <w:pPr>
        <w:pStyle w:val="ListParagraph"/>
      </w:pPr>
      <w:r>
        <w:t xml:space="preserve">The meeting adjourned </w:t>
      </w:r>
      <w:r w:rsidR="002A23BE">
        <w:t>4:25 p.m.</w:t>
      </w:r>
    </w:p>
    <w:p w:rsidR="002A23BE" w:rsidRDefault="002A23BE" w:rsidP="00136615">
      <w:pPr>
        <w:pStyle w:val="ListParagraph"/>
      </w:pPr>
    </w:p>
    <w:p w:rsidR="002A23BE" w:rsidRDefault="002A23BE" w:rsidP="00136615">
      <w:pPr>
        <w:pStyle w:val="ListParagraph"/>
      </w:pPr>
    </w:p>
    <w:p w:rsidR="002A23BE" w:rsidRDefault="002A23BE" w:rsidP="00136615">
      <w:pPr>
        <w:pStyle w:val="ListParagraph"/>
      </w:pPr>
    </w:p>
    <w:p w:rsidR="002A23BE" w:rsidRDefault="002A23BE"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136615" w:rsidP="00565835">
      <w:pPr>
        <w:pStyle w:val="ListParagraph"/>
        <w:tabs>
          <w:tab w:val="left" w:pos="2127"/>
          <w:tab w:val="left" w:pos="3119"/>
          <w:tab w:val="left" w:pos="5529"/>
          <w:tab w:val="left" w:pos="5954"/>
          <w:tab w:val="left" w:pos="6379"/>
        </w:tabs>
        <w:ind w:left="360"/>
      </w:pPr>
      <w:r>
        <w:t>Aimée Surprenant,</w:t>
      </w:r>
      <w:r w:rsidR="00565835">
        <w:t xml:space="preserve"> </w:t>
      </w:r>
      <w:r w:rsidR="009E6E3A">
        <w:t>Chair</w:t>
      </w:r>
      <w:r w:rsidR="009E6E3A">
        <w:tab/>
      </w:r>
      <w:r w:rsidR="009E6E3A">
        <w:tab/>
      </w:r>
      <w:r>
        <w:t>Echo Pittman</w:t>
      </w:r>
      <w:r w:rsidR="009E6E3A">
        <w:t>, Secretary</w:t>
      </w:r>
    </w:p>
    <w:sectPr w:rsidR="008F0CBC" w:rsidSect="00746712">
      <w:headerReference w:type="default" r:id="rId9"/>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EB" w:rsidRDefault="00B247EB" w:rsidP="00F87907">
      <w:r>
        <w:separator/>
      </w:r>
    </w:p>
  </w:endnote>
  <w:endnote w:type="continuationSeparator" w:id="0">
    <w:p w:rsidR="00B247EB" w:rsidRDefault="00B247EB"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EB" w:rsidRDefault="00B247EB" w:rsidP="00F87907">
      <w:r>
        <w:separator/>
      </w:r>
    </w:p>
  </w:footnote>
  <w:footnote w:type="continuationSeparator" w:id="0">
    <w:p w:rsidR="00B247EB" w:rsidRDefault="00B247EB"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EB" w:rsidRPr="00150170" w:rsidRDefault="00B247EB">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r>
    <w:r w:rsidR="0008618E">
      <w:softHyphen/>
      <w:t>______________________________________</w:t>
    </w:r>
    <w:r w:rsidR="0008618E">
      <w:tab/>
    </w:r>
    <w:r w:rsidR="0008618E">
      <w:tab/>
      <w:t xml:space="preserve">   </w:t>
    </w:r>
    <w:r>
      <w:t xml:space="preserve"> </w:t>
    </w:r>
    <w:r w:rsidRPr="00150170">
      <w:rPr>
        <w:i/>
        <w:sz w:val="18"/>
      </w:rPr>
      <w:t xml:space="preserve">Academic Council, Minutes of Meeting, </w:t>
    </w:r>
    <w:r w:rsidR="0008618E">
      <w:rPr>
        <w:i/>
        <w:sz w:val="18"/>
      </w:rPr>
      <w:t>September 18, 2017,</w:t>
    </w:r>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9D144E" w:rsidRPr="00150170">
          <w:rPr>
            <w:i/>
            <w:sz w:val="18"/>
          </w:rPr>
          <w:fldChar w:fldCharType="begin"/>
        </w:r>
        <w:r w:rsidRPr="00150170">
          <w:rPr>
            <w:i/>
            <w:sz w:val="18"/>
          </w:rPr>
          <w:instrText xml:space="preserve"> PAGE   \* MERGEFORMAT </w:instrText>
        </w:r>
        <w:r w:rsidR="009D144E" w:rsidRPr="00150170">
          <w:rPr>
            <w:i/>
            <w:sz w:val="18"/>
          </w:rPr>
          <w:fldChar w:fldCharType="separate"/>
        </w:r>
        <w:r w:rsidR="00355B19">
          <w:rPr>
            <w:i/>
            <w:noProof/>
            <w:sz w:val="18"/>
          </w:rPr>
          <w:t>4</w:t>
        </w:r>
        <w:r w:rsidR="009D144E" w:rsidRPr="00150170">
          <w:rPr>
            <w:i/>
            <w:sz w:val="18"/>
          </w:rPr>
          <w:fldChar w:fldCharType="end"/>
        </w:r>
      </w:sdtContent>
    </w:sdt>
  </w:p>
  <w:p w:rsidR="00B247EB" w:rsidRPr="00150170" w:rsidRDefault="00B24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FB"/>
    <w:multiLevelType w:val="multilevel"/>
    <w:tmpl w:val="80B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C31F8A"/>
    <w:multiLevelType w:val="hybridMultilevel"/>
    <w:tmpl w:val="600285B0"/>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BC7BBC"/>
    <w:multiLevelType w:val="multilevel"/>
    <w:tmpl w:val="4A62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3FF6"/>
    <w:multiLevelType w:val="hybridMultilevel"/>
    <w:tmpl w:val="4AEE0592"/>
    <w:lvl w:ilvl="0" w:tplc="65BEA17A">
      <w:start w:val="1"/>
      <w:numFmt w:val="lowerRoman"/>
      <w:lvlText w:val="%1)"/>
      <w:lvlJc w:val="left"/>
      <w:pPr>
        <w:ind w:left="1440" w:hanging="720"/>
      </w:pPr>
      <w:rPr>
        <w:rFonts w:ascii="Times New Roman" w:hAnsi="Times New Roman" w:cstheme="minorBidi"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15:restartNumberingAfterBreak="0">
    <w:nsid w:val="14732FBC"/>
    <w:multiLevelType w:val="hybridMultilevel"/>
    <w:tmpl w:val="F7AC3C18"/>
    <w:lvl w:ilvl="0" w:tplc="82E6315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6C650B8"/>
    <w:multiLevelType w:val="multilevel"/>
    <w:tmpl w:val="AC6AE378"/>
    <w:lvl w:ilvl="0">
      <w:start w:val="1"/>
      <w:numFmt w:val="decimal"/>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8" w15:restartNumberingAfterBreak="0">
    <w:nsid w:val="214F0A15"/>
    <w:multiLevelType w:val="hybridMultilevel"/>
    <w:tmpl w:val="971A6DDC"/>
    <w:lvl w:ilvl="0" w:tplc="0194E99C">
      <w:start w:val="2"/>
      <w:numFmt w:val="bullet"/>
      <w:lvlText w:val="-"/>
      <w:lvlJc w:val="left"/>
      <w:pPr>
        <w:ind w:left="1778" w:hanging="360"/>
      </w:pPr>
      <w:rPr>
        <w:rFonts w:ascii="Times New Roman" w:eastAsiaTheme="minorHAnsi" w:hAnsi="Times New Roman" w:cs="Times New Roman"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316492C"/>
    <w:multiLevelType w:val="hybridMultilevel"/>
    <w:tmpl w:val="C1186C64"/>
    <w:lvl w:ilvl="0" w:tplc="5E1CE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86120C"/>
    <w:multiLevelType w:val="hybridMultilevel"/>
    <w:tmpl w:val="33C211EA"/>
    <w:lvl w:ilvl="0" w:tplc="54469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D260ED"/>
    <w:multiLevelType w:val="hybridMultilevel"/>
    <w:tmpl w:val="72442982"/>
    <w:lvl w:ilvl="0" w:tplc="CDA6FA4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655E22"/>
    <w:multiLevelType w:val="multilevel"/>
    <w:tmpl w:val="D2547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360A41"/>
    <w:multiLevelType w:val="multilevel"/>
    <w:tmpl w:val="7FF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51E65"/>
    <w:multiLevelType w:val="multilevel"/>
    <w:tmpl w:val="96AC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C5C1F"/>
    <w:multiLevelType w:val="hybridMultilevel"/>
    <w:tmpl w:val="11EE5AA0"/>
    <w:lvl w:ilvl="0" w:tplc="89EC83B4">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48220F3"/>
    <w:multiLevelType w:val="hybridMultilevel"/>
    <w:tmpl w:val="C30E8E4E"/>
    <w:lvl w:ilvl="0" w:tplc="0BE6B9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8C0D9B"/>
    <w:multiLevelType w:val="hybridMultilevel"/>
    <w:tmpl w:val="50A6520A"/>
    <w:lvl w:ilvl="0" w:tplc="B492D3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0F2C15"/>
    <w:multiLevelType w:val="hybridMultilevel"/>
    <w:tmpl w:val="E380341A"/>
    <w:lvl w:ilvl="0" w:tplc="56A45C3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3FE448A5"/>
    <w:multiLevelType w:val="hybridMultilevel"/>
    <w:tmpl w:val="51C6AC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2C12211"/>
    <w:multiLevelType w:val="multilevel"/>
    <w:tmpl w:val="4A0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164F9"/>
    <w:multiLevelType w:val="hybridMultilevel"/>
    <w:tmpl w:val="49B86F18"/>
    <w:lvl w:ilvl="0" w:tplc="1F4E45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DCB26A6"/>
    <w:multiLevelType w:val="multilevel"/>
    <w:tmpl w:val="D1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D1B78"/>
    <w:multiLevelType w:val="multilevel"/>
    <w:tmpl w:val="F29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65FA7"/>
    <w:multiLevelType w:val="multilevel"/>
    <w:tmpl w:val="A17A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12B"/>
    <w:multiLevelType w:val="multilevel"/>
    <w:tmpl w:val="36BC57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551E1D67"/>
    <w:multiLevelType w:val="hybridMultilevel"/>
    <w:tmpl w:val="6F2A0F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FC0EC4"/>
    <w:multiLevelType w:val="hybridMultilevel"/>
    <w:tmpl w:val="71E4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60574"/>
    <w:multiLevelType w:val="hybridMultilevel"/>
    <w:tmpl w:val="07DCD16A"/>
    <w:lvl w:ilvl="0" w:tplc="8FF40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A7172"/>
    <w:multiLevelType w:val="hybridMultilevel"/>
    <w:tmpl w:val="AC18C63A"/>
    <w:lvl w:ilvl="0" w:tplc="09C88E4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B957264"/>
    <w:multiLevelType w:val="hybridMultilevel"/>
    <w:tmpl w:val="4378B0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3F963D9"/>
    <w:multiLevelType w:val="multilevel"/>
    <w:tmpl w:val="73142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463ECA"/>
    <w:multiLevelType w:val="hybridMultilevel"/>
    <w:tmpl w:val="BD6A3468"/>
    <w:lvl w:ilvl="0" w:tplc="4A3EA5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A9619FD"/>
    <w:multiLevelType w:val="hybridMultilevel"/>
    <w:tmpl w:val="8C60E67C"/>
    <w:lvl w:ilvl="0" w:tplc="CB24BB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D770377"/>
    <w:multiLevelType w:val="hybridMultilevel"/>
    <w:tmpl w:val="11149110"/>
    <w:lvl w:ilvl="0" w:tplc="56CC34CE">
      <w:start w:val="1"/>
      <w:numFmt w:val="bullet"/>
      <w:lvlText w:val="-"/>
      <w:lvlJc w:val="left"/>
      <w:pPr>
        <w:ind w:left="3332" w:hanging="360"/>
      </w:pPr>
      <w:rPr>
        <w:rFonts w:ascii="Times New Roman" w:eastAsiaTheme="minorEastAsia" w:hAnsi="Times New Roman" w:cs="Times New Roman" w:hint="default"/>
      </w:rPr>
    </w:lvl>
    <w:lvl w:ilvl="1" w:tplc="04090003">
      <w:start w:val="1"/>
      <w:numFmt w:val="bullet"/>
      <w:lvlText w:val="o"/>
      <w:lvlJc w:val="left"/>
      <w:pPr>
        <w:ind w:left="4052" w:hanging="360"/>
      </w:pPr>
      <w:rPr>
        <w:rFonts w:ascii="Courier New" w:hAnsi="Courier New" w:cs="Courier New" w:hint="default"/>
      </w:rPr>
    </w:lvl>
    <w:lvl w:ilvl="2" w:tplc="04090005" w:tentative="1">
      <w:start w:val="1"/>
      <w:numFmt w:val="bullet"/>
      <w:lvlText w:val=""/>
      <w:lvlJc w:val="left"/>
      <w:pPr>
        <w:ind w:left="4772" w:hanging="360"/>
      </w:pPr>
      <w:rPr>
        <w:rFonts w:ascii="Wingdings" w:hAnsi="Wingdings" w:hint="default"/>
      </w:rPr>
    </w:lvl>
    <w:lvl w:ilvl="3" w:tplc="04090001" w:tentative="1">
      <w:start w:val="1"/>
      <w:numFmt w:val="bullet"/>
      <w:lvlText w:val=""/>
      <w:lvlJc w:val="left"/>
      <w:pPr>
        <w:ind w:left="5492" w:hanging="360"/>
      </w:pPr>
      <w:rPr>
        <w:rFonts w:ascii="Symbol" w:hAnsi="Symbol" w:hint="default"/>
      </w:rPr>
    </w:lvl>
    <w:lvl w:ilvl="4" w:tplc="04090003" w:tentative="1">
      <w:start w:val="1"/>
      <w:numFmt w:val="bullet"/>
      <w:lvlText w:val="o"/>
      <w:lvlJc w:val="left"/>
      <w:pPr>
        <w:ind w:left="6212" w:hanging="360"/>
      </w:pPr>
      <w:rPr>
        <w:rFonts w:ascii="Courier New" w:hAnsi="Courier New" w:cs="Courier New" w:hint="default"/>
      </w:rPr>
    </w:lvl>
    <w:lvl w:ilvl="5" w:tplc="04090005" w:tentative="1">
      <w:start w:val="1"/>
      <w:numFmt w:val="bullet"/>
      <w:lvlText w:val=""/>
      <w:lvlJc w:val="left"/>
      <w:pPr>
        <w:ind w:left="6932" w:hanging="360"/>
      </w:pPr>
      <w:rPr>
        <w:rFonts w:ascii="Wingdings" w:hAnsi="Wingdings" w:hint="default"/>
      </w:rPr>
    </w:lvl>
    <w:lvl w:ilvl="6" w:tplc="04090001" w:tentative="1">
      <w:start w:val="1"/>
      <w:numFmt w:val="bullet"/>
      <w:lvlText w:val=""/>
      <w:lvlJc w:val="left"/>
      <w:pPr>
        <w:ind w:left="7652" w:hanging="360"/>
      </w:pPr>
      <w:rPr>
        <w:rFonts w:ascii="Symbol" w:hAnsi="Symbol" w:hint="default"/>
      </w:rPr>
    </w:lvl>
    <w:lvl w:ilvl="7" w:tplc="04090003" w:tentative="1">
      <w:start w:val="1"/>
      <w:numFmt w:val="bullet"/>
      <w:lvlText w:val="o"/>
      <w:lvlJc w:val="left"/>
      <w:pPr>
        <w:ind w:left="8372" w:hanging="360"/>
      </w:pPr>
      <w:rPr>
        <w:rFonts w:ascii="Courier New" w:hAnsi="Courier New" w:cs="Courier New" w:hint="default"/>
      </w:rPr>
    </w:lvl>
    <w:lvl w:ilvl="8" w:tplc="04090005" w:tentative="1">
      <w:start w:val="1"/>
      <w:numFmt w:val="bullet"/>
      <w:lvlText w:val=""/>
      <w:lvlJc w:val="left"/>
      <w:pPr>
        <w:ind w:left="9092" w:hanging="360"/>
      </w:pPr>
      <w:rPr>
        <w:rFonts w:ascii="Wingdings" w:hAnsi="Wingdings" w:hint="default"/>
      </w:rPr>
    </w:lvl>
  </w:abstractNum>
  <w:abstractNum w:abstractNumId="35" w15:restartNumberingAfterBreak="0">
    <w:nsid w:val="7EC34843"/>
    <w:multiLevelType w:val="hybridMultilevel"/>
    <w:tmpl w:val="BC2C8594"/>
    <w:lvl w:ilvl="0" w:tplc="32C63D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8"/>
  </w:num>
  <w:num w:numId="3">
    <w:abstractNumId w:val="1"/>
  </w:num>
  <w:num w:numId="4">
    <w:abstractNumId w:val="21"/>
  </w:num>
  <w:num w:numId="5">
    <w:abstractNumId w:val="4"/>
  </w:num>
  <w:num w:numId="6">
    <w:abstractNumId w:val="15"/>
  </w:num>
  <w:num w:numId="7">
    <w:abstractNumId w:val="13"/>
  </w:num>
  <w:num w:numId="8">
    <w:abstractNumId w:val="23"/>
  </w:num>
  <w:num w:numId="9">
    <w:abstractNumId w:val="20"/>
  </w:num>
  <w:num w:numId="10">
    <w:abstractNumId w:val="22"/>
  </w:num>
  <w:num w:numId="11">
    <w:abstractNumId w:val="3"/>
  </w:num>
  <w:num w:numId="12">
    <w:abstractNumId w:val="31"/>
  </w:num>
  <w:num w:numId="13">
    <w:abstractNumId w:val="14"/>
  </w:num>
  <w:num w:numId="14">
    <w:abstractNumId w:val="24"/>
  </w:num>
  <w:num w:numId="15">
    <w:abstractNumId w:val="25"/>
  </w:num>
  <w:num w:numId="16">
    <w:abstractNumId w:val="0"/>
  </w:num>
  <w:num w:numId="17">
    <w:abstractNumId w:val="19"/>
  </w:num>
  <w:num w:numId="18">
    <w:abstractNumId w:val="12"/>
  </w:num>
  <w:num w:numId="19">
    <w:abstractNumId w:val="27"/>
  </w:num>
  <w:num w:numId="20">
    <w:abstractNumId w:val="26"/>
  </w:num>
  <w:num w:numId="21">
    <w:abstractNumId w:val="30"/>
  </w:num>
  <w:num w:numId="22">
    <w:abstractNumId w:val="9"/>
  </w:num>
  <w:num w:numId="23">
    <w:abstractNumId w:val="6"/>
  </w:num>
  <w:num w:numId="24">
    <w:abstractNumId w:val="32"/>
  </w:num>
  <w:num w:numId="25">
    <w:abstractNumId w:val="17"/>
  </w:num>
  <w:num w:numId="26">
    <w:abstractNumId w:val="35"/>
  </w:num>
  <w:num w:numId="27">
    <w:abstractNumId w:val="33"/>
  </w:num>
  <w:num w:numId="28">
    <w:abstractNumId w:val="29"/>
  </w:num>
  <w:num w:numId="29">
    <w:abstractNumId w:val="2"/>
  </w:num>
  <w:num w:numId="30">
    <w:abstractNumId w:val="8"/>
  </w:num>
  <w:num w:numId="31">
    <w:abstractNumId w:val="28"/>
  </w:num>
  <w:num w:numId="32">
    <w:abstractNumId w:val="11"/>
  </w:num>
  <w:num w:numId="33">
    <w:abstractNumId w:val="10"/>
  </w:num>
  <w:num w:numId="34">
    <w:abstractNumId w:val="16"/>
  </w:num>
  <w:num w:numId="35">
    <w:abstractNumId w:val="7"/>
  </w:num>
  <w:num w:numId="36">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5A09"/>
    <w:rsid w:val="00016CD9"/>
    <w:rsid w:val="00020671"/>
    <w:rsid w:val="00040E35"/>
    <w:rsid w:val="00044D60"/>
    <w:rsid w:val="0005437E"/>
    <w:rsid w:val="00060E32"/>
    <w:rsid w:val="000629D5"/>
    <w:rsid w:val="00066E3A"/>
    <w:rsid w:val="000859F2"/>
    <w:rsid w:val="0008618E"/>
    <w:rsid w:val="000905F1"/>
    <w:rsid w:val="00094E49"/>
    <w:rsid w:val="000959CF"/>
    <w:rsid w:val="000C2958"/>
    <w:rsid w:val="000C66C6"/>
    <w:rsid w:val="000C6E7F"/>
    <w:rsid w:val="000E5049"/>
    <w:rsid w:val="000E57D8"/>
    <w:rsid w:val="000E58D0"/>
    <w:rsid w:val="000F7B03"/>
    <w:rsid w:val="00100DF7"/>
    <w:rsid w:val="00101C1E"/>
    <w:rsid w:val="0010246E"/>
    <w:rsid w:val="00112C35"/>
    <w:rsid w:val="00121620"/>
    <w:rsid w:val="00122627"/>
    <w:rsid w:val="00132210"/>
    <w:rsid w:val="00136615"/>
    <w:rsid w:val="0014518F"/>
    <w:rsid w:val="00150170"/>
    <w:rsid w:val="00155CF4"/>
    <w:rsid w:val="00165069"/>
    <w:rsid w:val="001656B8"/>
    <w:rsid w:val="00165DA1"/>
    <w:rsid w:val="001800C1"/>
    <w:rsid w:val="00181ED0"/>
    <w:rsid w:val="001A1C4C"/>
    <w:rsid w:val="001A6150"/>
    <w:rsid w:val="001A765D"/>
    <w:rsid w:val="001C1BB8"/>
    <w:rsid w:val="001D6F24"/>
    <w:rsid w:val="001F1E9E"/>
    <w:rsid w:val="001F7240"/>
    <w:rsid w:val="002012DA"/>
    <w:rsid w:val="00203F5B"/>
    <w:rsid w:val="0021428A"/>
    <w:rsid w:val="00224606"/>
    <w:rsid w:val="00224A4E"/>
    <w:rsid w:val="0022727D"/>
    <w:rsid w:val="0023049E"/>
    <w:rsid w:val="00234EDC"/>
    <w:rsid w:val="00240F95"/>
    <w:rsid w:val="00241FF3"/>
    <w:rsid w:val="0026382C"/>
    <w:rsid w:val="00265E74"/>
    <w:rsid w:val="00267A28"/>
    <w:rsid w:val="00276ADB"/>
    <w:rsid w:val="00281170"/>
    <w:rsid w:val="002918CE"/>
    <w:rsid w:val="002940F5"/>
    <w:rsid w:val="0029693B"/>
    <w:rsid w:val="002A23BE"/>
    <w:rsid w:val="002B6B80"/>
    <w:rsid w:val="002D155F"/>
    <w:rsid w:val="002D63E7"/>
    <w:rsid w:val="002E2CC6"/>
    <w:rsid w:val="00301EE4"/>
    <w:rsid w:val="00302DBB"/>
    <w:rsid w:val="00307ED5"/>
    <w:rsid w:val="00310742"/>
    <w:rsid w:val="003305DD"/>
    <w:rsid w:val="003354BF"/>
    <w:rsid w:val="003500E7"/>
    <w:rsid w:val="0035401C"/>
    <w:rsid w:val="00354CB7"/>
    <w:rsid w:val="00355518"/>
    <w:rsid w:val="00355B19"/>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E405D"/>
    <w:rsid w:val="003F30EB"/>
    <w:rsid w:val="003F47BC"/>
    <w:rsid w:val="004055F7"/>
    <w:rsid w:val="00413384"/>
    <w:rsid w:val="004304AB"/>
    <w:rsid w:val="00432A59"/>
    <w:rsid w:val="004643A1"/>
    <w:rsid w:val="00485512"/>
    <w:rsid w:val="00491F09"/>
    <w:rsid w:val="004B0B2E"/>
    <w:rsid w:val="004B204E"/>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938"/>
    <w:rsid w:val="005A2372"/>
    <w:rsid w:val="005D4CE4"/>
    <w:rsid w:val="005F25F9"/>
    <w:rsid w:val="005F2A3C"/>
    <w:rsid w:val="005F2E10"/>
    <w:rsid w:val="00602659"/>
    <w:rsid w:val="0064393A"/>
    <w:rsid w:val="00647F54"/>
    <w:rsid w:val="00654839"/>
    <w:rsid w:val="006625DB"/>
    <w:rsid w:val="00662BDA"/>
    <w:rsid w:val="0066455C"/>
    <w:rsid w:val="006A3114"/>
    <w:rsid w:val="006A4843"/>
    <w:rsid w:val="006A56BB"/>
    <w:rsid w:val="006B1DEE"/>
    <w:rsid w:val="006B3A80"/>
    <w:rsid w:val="006B67E1"/>
    <w:rsid w:val="006C0A71"/>
    <w:rsid w:val="006D0688"/>
    <w:rsid w:val="006D4C43"/>
    <w:rsid w:val="006D6AD9"/>
    <w:rsid w:val="006E73B2"/>
    <w:rsid w:val="006F6B39"/>
    <w:rsid w:val="00700557"/>
    <w:rsid w:val="00706618"/>
    <w:rsid w:val="007214C0"/>
    <w:rsid w:val="00724C77"/>
    <w:rsid w:val="00725817"/>
    <w:rsid w:val="00746712"/>
    <w:rsid w:val="00753B7B"/>
    <w:rsid w:val="00766A1D"/>
    <w:rsid w:val="00773084"/>
    <w:rsid w:val="00785A09"/>
    <w:rsid w:val="00796F76"/>
    <w:rsid w:val="00797F61"/>
    <w:rsid w:val="007A108B"/>
    <w:rsid w:val="007B0A59"/>
    <w:rsid w:val="007B562D"/>
    <w:rsid w:val="007B61F7"/>
    <w:rsid w:val="007C6044"/>
    <w:rsid w:val="007D4EFE"/>
    <w:rsid w:val="007F64FF"/>
    <w:rsid w:val="00800DE1"/>
    <w:rsid w:val="00804FCB"/>
    <w:rsid w:val="00812F90"/>
    <w:rsid w:val="008256AB"/>
    <w:rsid w:val="008319EF"/>
    <w:rsid w:val="008349FA"/>
    <w:rsid w:val="00846F50"/>
    <w:rsid w:val="00851D2C"/>
    <w:rsid w:val="00854E90"/>
    <w:rsid w:val="0086284D"/>
    <w:rsid w:val="00871421"/>
    <w:rsid w:val="00877C8A"/>
    <w:rsid w:val="008868E8"/>
    <w:rsid w:val="00891821"/>
    <w:rsid w:val="008A1E6D"/>
    <w:rsid w:val="008A6273"/>
    <w:rsid w:val="008B3751"/>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376CB"/>
    <w:rsid w:val="00952573"/>
    <w:rsid w:val="00953B30"/>
    <w:rsid w:val="0095777A"/>
    <w:rsid w:val="00970485"/>
    <w:rsid w:val="009731AC"/>
    <w:rsid w:val="0098573A"/>
    <w:rsid w:val="009869AF"/>
    <w:rsid w:val="00995158"/>
    <w:rsid w:val="009A41CE"/>
    <w:rsid w:val="009A7A74"/>
    <w:rsid w:val="009B45A0"/>
    <w:rsid w:val="009B5DF2"/>
    <w:rsid w:val="009B6CB6"/>
    <w:rsid w:val="009D144E"/>
    <w:rsid w:val="009E6D27"/>
    <w:rsid w:val="009E6E3A"/>
    <w:rsid w:val="00A06C15"/>
    <w:rsid w:val="00A13A0D"/>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247EB"/>
    <w:rsid w:val="00B37A4C"/>
    <w:rsid w:val="00B40AEC"/>
    <w:rsid w:val="00B41B4B"/>
    <w:rsid w:val="00B43750"/>
    <w:rsid w:val="00B51E0A"/>
    <w:rsid w:val="00B666EB"/>
    <w:rsid w:val="00B76B66"/>
    <w:rsid w:val="00B85F6F"/>
    <w:rsid w:val="00B91A75"/>
    <w:rsid w:val="00B951F6"/>
    <w:rsid w:val="00BA4E90"/>
    <w:rsid w:val="00BB212B"/>
    <w:rsid w:val="00BC49E0"/>
    <w:rsid w:val="00BC4ACB"/>
    <w:rsid w:val="00BC6036"/>
    <w:rsid w:val="00BD16A6"/>
    <w:rsid w:val="00BE017C"/>
    <w:rsid w:val="00BE03E4"/>
    <w:rsid w:val="00BE0484"/>
    <w:rsid w:val="00BE4CAB"/>
    <w:rsid w:val="00C23339"/>
    <w:rsid w:val="00C26835"/>
    <w:rsid w:val="00C340B9"/>
    <w:rsid w:val="00C35AB9"/>
    <w:rsid w:val="00C379ED"/>
    <w:rsid w:val="00C40006"/>
    <w:rsid w:val="00C44D74"/>
    <w:rsid w:val="00C510A9"/>
    <w:rsid w:val="00C86C2F"/>
    <w:rsid w:val="00CB4DB5"/>
    <w:rsid w:val="00CB5C12"/>
    <w:rsid w:val="00CB6C48"/>
    <w:rsid w:val="00CE6266"/>
    <w:rsid w:val="00CF185F"/>
    <w:rsid w:val="00CF1A84"/>
    <w:rsid w:val="00CF30E7"/>
    <w:rsid w:val="00D00A1C"/>
    <w:rsid w:val="00D02E52"/>
    <w:rsid w:val="00D03A68"/>
    <w:rsid w:val="00D11C24"/>
    <w:rsid w:val="00D13C87"/>
    <w:rsid w:val="00D2357E"/>
    <w:rsid w:val="00D40EA9"/>
    <w:rsid w:val="00D55B29"/>
    <w:rsid w:val="00D5682B"/>
    <w:rsid w:val="00D62D13"/>
    <w:rsid w:val="00D6754F"/>
    <w:rsid w:val="00D7120A"/>
    <w:rsid w:val="00DA3300"/>
    <w:rsid w:val="00DB52E3"/>
    <w:rsid w:val="00DC54A3"/>
    <w:rsid w:val="00DD01EC"/>
    <w:rsid w:val="00DD0D75"/>
    <w:rsid w:val="00DD0FFB"/>
    <w:rsid w:val="00DD1832"/>
    <w:rsid w:val="00DE3759"/>
    <w:rsid w:val="00E11705"/>
    <w:rsid w:val="00E14096"/>
    <w:rsid w:val="00E262E3"/>
    <w:rsid w:val="00E33538"/>
    <w:rsid w:val="00E361DC"/>
    <w:rsid w:val="00E45170"/>
    <w:rsid w:val="00E515B1"/>
    <w:rsid w:val="00E625C9"/>
    <w:rsid w:val="00E67674"/>
    <w:rsid w:val="00E701EA"/>
    <w:rsid w:val="00E74889"/>
    <w:rsid w:val="00E76B9B"/>
    <w:rsid w:val="00E80A49"/>
    <w:rsid w:val="00E93D0E"/>
    <w:rsid w:val="00E96C13"/>
    <w:rsid w:val="00EA34AE"/>
    <w:rsid w:val="00EA7439"/>
    <w:rsid w:val="00EC7D0F"/>
    <w:rsid w:val="00ED32A6"/>
    <w:rsid w:val="00EF59E4"/>
    <w:rsid w:val="00F010B3"/>
    <w:rsid w:val="00F03B57"/>
    <w:rsid w:val="00F057C4"/>
    <w:rsid w:val="00F061CC"/>
    <w:rsid w:val="00F067D1"/>
    <w:rsid w:val="00F15C3F"/>
    <w:rsid w:val="00F23BFF"/>
    <w:rsid w:val="00F34288"/>
    <w:rsid w:val="00F563E6"/>
    <w:rsid w:val="00F565F7"/>
    <w:rsid w:val="00F60EF1"/>
    <w:rsid w:val="00F61AA4"/>
    <w:rsid w:val="00F66909"/>
    <w:rsid w:val="00F718AE"/>
    <w:rsid w:val="00F72080"/>
    <w:rsid w:val="00F73791"/>
    <w:rsid w:val="00F7582F"/>
    <w:rsid w:val="00F778DE"/>
    <w:rsid w:val="00F84D5B"/>
    <w:rsid w:val="00F8683E"/>
    <w:rsid w:val="00F87907"/>
    <w:rsid w:val="00F962D9"/>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GENINFO-0086" TargetMode="External"/><Relationship Id="rId3" Type="http://schemas.openxmlformats.org/officeDocument/2006/relationships/settings" Target="settings.xml"/><Relationship Id="rId7" Type="http://schemas.openxmlformats.org/officeDocument/2006/relationships/hyperlink" Target="https://www.mun.ca/regoff/calendar/sectionNo=GENINFO-0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12</cp:revision>
  <cp:lastPrinted>2017-09-28T18:10:00Z</cp:lastPrinted>
  <dcterms:created xsi:type="dcterms:W3CDTF">2017-09-26T19:08:00Z</dcterms:created>
  <dcterms:modified xsi:type="dcterms:W3CDTF">2017-09-28T18:10:00Z</dcterms:modified>
</cp:coreProperties>
</file>