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56" w:rsidRPr="00A75637" w:rsidRDefault="00766E56">
      <w:pPr>
        <w:widowControl/>
        <w:tabs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 w:rsidRPr="00A75637">
        <w:tab/>
      </w:r>
      <w:r w:rsidRPr="00A75637">
        <w:rPr>
          <w:b/>
        </w:rPr>
        <w:t>MEMORIAL UNIVERSITY OF NEWFOUNDLAND</w:t>
      </w:r>
    </w:p>
    <w:p w:rsidR="00766E56" w:rsidRPr="00A75637" w:rsidRDefault="00766E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</w:p>
    <w:p w:rsidR="00766E56" w:rsidRPr="00A75637" w:rsidRDefault="00766E56">
      <w:pPr>
        <w:widowControl/>
        <w:tabs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 w:rsidRPr="00A75637">
        <w:rPr>
          <w:b/>
        </w:rPr>
        <w:tab/>
        <w:t xml:space="preserve">Academic Council </w:t>
      </w:r>
    </w:p>
    <w:p w:rsidR="00455E4A" w:rsidRPr="00A75637" w:rsidRDefault="00766E56" w:rsidP="00455E4A">
      <w:pPr>
        <w:widowControl/>
        <w:tabs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 w:rsidRPr="00A75637">
        <w:rPr>
          <w:b/>
        </w:rPr>
        <w:tab/>
      </w:r>
      <w:r w:rsidR="00DD7667">
        <w:rPr>
          <w:b/>
        </w:rPr>
        <w:t>April 16</w:t>
      </w:r>
      <w:r w:rsidR="00E26E2C">
        <w:rPr>
          <w:b/>
        </w:rPr>
        <w:t>, 2018</w:t>
      </w:r>
      <w:r w:rsidR="00BB572B" w:rsidRPr="00A75637">
        <w:rPr>
          <w:b/>
        </w:rPr>
        <w:t xml:space="preserve"> (via email)</w:t>
      </w:r>
    </w:p>
    <w:p w:rsidR="00BB572B" w:rsidRPr="00A75637" w:rsidRDefault="00BB572B" w:rsidP="00455E4A">
      <w:pPr>
        <w:widowControl/>
        <w:tabs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BB572B" w:rsidRPr="00A75637" w:rsidRDefault="00BB572B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BB572B" w:rsidRPr="00A75637" w:rsidRDefault="00BB572B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6B7A08" w:rsidRPr="00A75637" w:rsidRDefault="002A0416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A75637">
        <w:t xml:space="preserve">Members of </w:t>
      </w:r>
      <w:r w:rsidR="006B7A08" w:rsidRPr="00A75637">
        <w:t xml:space="preserve">Academic Council </w:t>
      </w:r>
      <w:r w:rsidRPr="00A75637">
        <w:t xml:space="preserve">were asked to review </w:t>
      </w:r>
      <w:r w:rsidR="00DD7667">
        <w:t>two</w:t>
      </w:r>
      <w:r w:rsidR="00E26E2C">
        <w:t xml:space="preserve"> item</w:t>
      </w:r>
      <w:r w:rsidR="00DD7667">
        <w:t>s</w:t>
      </w:r>
      <w:r w:rsidRPr="00A75637">
        <w:t xml:space="preserve"> of business, via email, for approval.  </w:t>
      </w:r>
    </w:p>
    <w:p w:rsidR="00E152F6" w:rsidRPr="00A75637" w:rsidRDefault="00E152F6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E152F6" w:rsidRDefault="00E152F6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A75637">
        <w:t xml:space="preserve">It was moved by </w:t>
      </w:r>
      <w:r w:rsidR="00DD7667">
        <w:t>Dr. Roseman</w:t>
      </w:r>
      <w:r w:rsidRPr="00A75637">
        <w:t xml:space="preserve">, and seconded by </w:t>
      </w:r>
      <w:r w:rsidR="00DD7667">
        <w:t>Mr. Howse,</w:t>
      </w:r>
      <w:r w:rsidRPr="00A75637">
        <w:t xml:space="preserve"> </w:t>
      </w:r>
      <w:r w:rsidR="00DD7667">
        <w:t>that the submissions for calendar revisions to the Master of Marine Studies (MSPM) program, and the Ocean Sciences, Marine Biology program,</w:t>
      </w:r>
      <w:r w:rsidRPr="00A75637">
        <w:t xml:space="preserve"> be approved.</w:t>
      </w:r>
      <w:r w:rsidR="00DD7667">
        <w:t xml:space="preserve">  With 22 </w:t>
      </w:r>
      <w:proofErr w:type="spellStart"/>
      <w:r w:rsidR="00DD7667">
        <w:t>yeas</w:t>
      </w:r>
      <w:proofErr w:type="spellEnd"/>
      <w:r w:rsidR="00DD7667">
        <w:t>, the motion</w:t>
      </w:r>
    </w:p>
    <w:p w:rsidR="00DD7667" w:rsidRDefault="00DD7667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DD7667" w:rsidRPr="00A75637" w:rsidRDefault="00DD7667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</w:p>
    <w:p w:rsidR="00E152F6" w:rsidRPr="00A75637" w:rsidRDefault="00E152F6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285F87" w:rsidRPr="00A75637" w:rsidRDefault="00DD7667" w:rsidP="00285F87">
      <w:pPr>
        <w:pStyle w:val="ListParagraph"/>
        <w:widowControl/>
        <w:numPr>
          <w:ilvl w:val="0"/>
          <w:numId w:val="16"/>
        </w:num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Master of Marine Studies (Marine Spatial Planning and Management)</w:t>
      </w:r>
    </w:p>
    <w:p w:rsidR="00285F87" w:rsidRDefault="00285F87" w:rsidP="00285F87">
      <w:pPr>
        <w:pStyle w:val="ListParagraph"/>
        <w:widowControl/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DD7667" w:rsidRDefault="00DD7667" w:rsidP="00285F87">
      <w:pPr>
        <w:pStyle w:val="ListParagraph"/>
        <w:widowControl/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Existing course MSTM 6014 (Geospatial Analysis for Marine Spatial Planning), to be offered in accelerated format, with a calendar revision to section 17.3.2.1.</w:t>
      </w:r>
    </w:p>
    <w:p w:rsidR="00DD7667" w:rsidRDefault="00DD7667" w:rsidP="00285F87">
      <w:pPr>
        <w:pStyle w:val="ListParagraph"/>
        <w:widowControl/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EB1D6F" w:rsidRPr="008657CC" w:rsidRDefault="00EB1D6F" w:rsidP="00EB1D6F">
      <w:pPr>
        <w:shd w:val="clear" w:color="auto" w:fill="FFFFFF"/>
        <w:spacing w:line="264" w:lineRule="atLeast"/>
        <w:ind w:left="851"/>
        <w:rPr>
          <w:rFonts w:eastAsia="Times New Roman"/>
          <w:b/>
          <w:bCs/>
          <w:color w:val="990000"/>
        </w:rPr>
      </w:pPr>
      <w:r w:rsidRPr="008657CC">
        <w:rPr>
          <w:rFonts w:eastAsia="Times New Roman"/>
          <w:b/>
          <w:bCs/>
          <w:color w:val="990000"/>
        </w:rPr>
        <w:t>17.3.2.1 Core Courses</w:t>
      </w:r>
    </w:p>
    <w:p w:rsidR="00EB1D6F" w:rsidRPr="008657CC" w:rsidRDefault="00EB1D6F" w:rsidP="00EB1D6F">
      <w:pPr>
        <w:shd w:val="clear" w:color="auto" w:fill="FFFFFF"/>
        <w:spacing w:after="15"/>
        <w:ind w:left="851"/>
        <w:rPr>
          <w:rFonts w:ascii="Verdana" w:eastAsia="Times New Roman" w:hAnsi="Verdana"/>
          <w:color w:val="222222"/>
          <w:sz w:val="17"/>
          <w:szCs w:val="17"/>
        </w:rPr>
      </w:pPr>
      <w:r w:rsidRPr="008657CC">
        <w:rPr>
          <w:rFonts w:ascii="Verdana" w:eastAsia="Times New Roman" w:hAnsi="Verdana"/>
          <w:color w:val="222222"/>
          <w:sz w:val="17"/>
          <w:szCs w:val="17"/>
        </w:rPr>
        <w:t>All students must complete the following compulsory core courses:</w:t>
      </w:r>
    </w:p>
    <w:p w:rsidR="00EB1D6F" w:rsidRPr="008657CC" w:rsidRDefault="00EB1D6F" w:rsidP="00EB1D6F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after="15"/>
        <w:ind w:left="1276" w:hanging="425"/>
        <w:rPr>
          <w:rFonts w:ascii="Verdana" w:eastAsia="Times New Roman" w:hAnsi="Verdana"/>
          <w:color w:val="222222"/>
          <w:sz w:val="17"/>
          <w:szCs w:val="17"/>
        </w:rPr>
      </w:pPr>
      <w:r w:rsidRPr="008657CC">
        <w:rPr>
          <w:rFonts w:ascii="Verdana" w:eastAsia="Times New Roman" w:hAnsi="Verdana"/>
          <w:color w:val="222222"/>
          <w:sz w:val="17"/>
          <w:szCs w:val="17"/>
        </w:rPr>
        <w:t>MSTM 6011 Introduction to Integrated Coastal and Ocean Management / Marine Spatial Planning</w:t>
      </w:r>
    </w:p>
    <w:p w:rsidR="00EB1D6F" w:rsidRPr="008657CC" w:rsidRDefault="00EB1D6F" w:rsidP="00EB1D6F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after="15"/>
        <w:ind w:left="851" w:firstLine="0"/>
        <w:rPr>
          <w:rFonts w:ascii="Verdana" w:eastAsia="Times New Roman" w:hAnsi="Verdana"/>
          <w:color w:val="222222"/>
          <w:sz w:val="17"/>
          <w:szCs w:val="17"/>
        </w:rPr>
      </w:pPr>
      <w:r w:rsidRPr="008657CC">
        <w:rPr>
          <w:rFonts w:ascii="Verdana" w:eastAsia="Times New Roman" w:hAnsi="Verdana"/>
          <w:color w:val="222222"/>
          <w:sz w:val="17"/>
          <w:szCs w:val="17"/>
        </w:rPr>
        <w:t>MSTM 6012 Fundamentals of Geospatial Analysis</w:t>
      </w:r>
    </w:p>
    <w:p w:rsidR="00EB1D6F" w:rsidRPr="008657CC" w:rsidRDefault="00EB1D6F" w:rsidP="00EB1D6F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after="15"/>
        <w:ind w:left="851" w:firstLine="0"/>
        <w:rPr>
          <w:rFonts w:ascii="Verdana" w:eastAsia="Times New Roman" w:hAnsi="Verdana"/>
          <w:color w:val="222222"/>
          <w:sz w:val="17"/>
          <w:szCs w:val="17"/>
        </w:rPr>
      </w:pPr>
      <w:bookmarkStart w:id="0" w:name="_GoBack"/>
      <w:bookmarkEnd w:id="0"/>
      <w:r w:rsidRPr="008657CC">
        <w:rPr>
          <w:rFonts w:ascii="Verdana" w:eastAsia="Times New Roman" w:hAnsi="Verdana"/>
          <w:color w:val="222222"/>
          <w:sz w:val="17"/>
          <w:szCs w:val="17"/>
        </w:rPr>
        <w:t>MSTM 6013 Resource/Natural Environment and Ocean Use Characterization</w:t>
      </w:r>
    </w:p>
    <w:p w:rsidR="00EB1D6F" w:rsidRPr="008657CC" w:rsidRDefault="00EB1D6F" w:rsidP="00EB1D6F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after="15"/>
        <w:ind w:left="1276" w:hanging="425"/>
        <w:rPr>
          <w:rFonts w:ascii="Verdana" w:eastAsia="Times New Roman" w:hAnsi="Verdana"/>
          <w:color w:val="222222"/>
          <w:sz w:val="17"/>
          <w:szCs w:val="17"/>
        </w:rPr>
      </w:pPr>
      <w:r w:rsidRPr="008657CC">
        <w:rPr>
          <w:rFonts w:ascii="Verdana" w:eastAsia="Times New Roman" w:hAnsi="Verdana"/>
          <w:color w:val="222222"/>
          <w:sz w:val="17"/>
          <w:szCs w:val="17"/>
        </w:rPr>
        <w:t>MSTM 6014 Geospatial Analysis for Marine Spatial Planning (prerequisites: MSTM 6011, 6012, and 6013)</w:t>
      </w:r>
      <w:r>
        <w:rPr>
          <w:rFonts w:ascii="Verdana" w:eastAsia="Times New Roman" w:hAnsi="Verdana"/>
          <w:color w:val="222222"/>
          <w:sz w:val="17"/>
          <w:szCs w:val="17"/>
        </w:rPr>
        <w:t xml:space="preserve"> </w:t>
      </w:r>
      <w:r>
        <w:rPr>
          <w:rFonts w:ascii="Verdana" w:eastAsia="Times New Roman" w:hAnsi="Verdana"/>
          <w:color w:val="222222"/>
          <w:sz w:val="17"/>
          <w:szCs w:val="17"/>
          <w:u w:val="single"/>
        </w:rPr>
        <w:t>(may be offered in accelerated format</w:t>
      </w:r>
      <w:r>
        <w:rPr>
          <w:rFonts w:ascii="Verdana" w:eastAsia="Times New Roman" w:hAnsi="Verdana"/>
          <w:color w:val="222222"/>
          <w:sz w:val="17"/>
          <w:szCs w:val="17"/>
        </w:rPr>
        <w:t>)</w:t>
      </w:r>
    </w:p>
    <w:p w:rsidR="00EB1D6F" w:rsidRPr="008657CC" w:rsidRDefault="00EB1D6F" w:rsidP="00EB1D6F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after="15"/>
        <w:ind w:left="851" w:firstLine="0"/>
        <w:rPr>
          <w:rFonts w:ascii="Verdana" w:eastAsia="Times New Roman" w:hAnsi="Verdana"/>
          <w:color w:val="222222"/>
          <w:sz w:val="17"/>
          <w:szCs w:val="17"/>
        </w:rPr>
      </w:pPr>
      <w:r w:rsidRPr="008657CC">
        <w:rPr>
          <w:rFonts w:ascii="Verdana" w:eastAsia="Times New Roman" w:hAnsi="Verdana"/>
          <w:color w:val="222222"/>
          <w:sz w:val="17"/>
          <w:szCs w:val="17"/>
        </w:rPr>
        <w:t>MSTM 6022 Communication and Conflict Resolution in a Technical Environment</w:t>
      </w:r>
    </w:p>
    <w:p w:rsidR="00EB1D6F" w:rsidRPr="008657CC" w:rsidRDefault="00EB1D6F" w:rsidP="00EB1D6F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after="15"/>
        <w:ind w:left="851" w:firstLine="0"/>
        <w:rPr>
          <w:rFonts w:ascii="Verdana" w:eastAsia="Times New Roman" w:hAnsi="Verdana"/>
          <w:color w:val="222222"/>
          <w:sz w:val="17"/>
          <w:szCs w:val="17"/>
        </w:rPr>
      </w:pPr>
      <w:r w:rsidRPr="008657CC">
        <w:rPr>
          <w:rFonts w:ascii="Verdana" w:eastAsia="Times New Roman" w:hAnsi="Verdana"/>
          <w:color w:val="222222"/>
          <w:sz w:val="17"/>
          <w:szCs w:val="17"/>
        </w:rPr>
        <w:t>MSTM 6027 Coastal and Ocean Environmental Policies</w:t>
      </w:r>
    </w:p>
    <w:p w:rsidR="00EB1D6F" w:rsidRDefault="00EB1D6F" w:rsidP="00EB1D6F">
      <w:pPr>
        <w:widowControl/>
        <w:numPr>
          <w:ilvl w:val="0"/>
          <w:numId w:val="22"/>
        </w:numPr>
        <w:shd w:val="clear" w:color="auto" w:fill="FFFFFF"/>
        <w:tabs>
          <w:tab w:val="clear" w:pos="1309"/>
          <w:tab w:val="num" w:pos="1276"/>
        </w:tabs>
        <w:autoSpaceDE/>
        <w:autoSpaceDN/>
        <w:adjustRightInd/>
        <w:spacing w:after="15"/>
        <w:ind w:left="1276" w:hanging="425"/>
        <w:rPr>
          <w:rFonts w:ascii="Verdana" w:eastAsia="Times New Roman" w:hAnsi="Verdana"/>
          <w:color w:val="222222"/>
          <w:sz w:val="17"/>
          <w:szCs w:val="17"/>
        </w:rPr>
      </w:pPr>
      <w:r w:rsidRPr="008657CC">
        <w:rPr>
          <w:rFonts w:ascii="Verdana" w:eastAsia="Times New Roman" w:hAnsi="Verdana"/>
          <w:color w:val="222222"/>
          <w:sz w:val="17"/>
          <w:szCs w:val="17"/>
        </w:rPr>
        <w:t>MSTM 6034 Project Management in the Offshore, He</w:t>
      </w:r>
      <w:r>
        <w:rPr>
          <w:rFonts w:ascii="Verdana" w:eastAsia="Times New Roman" w:hAnsi="Verdana"/>
          <w:color w:val="222222"/>
          <w:sz w:val="17"/>
          <w:szCs w:val="17"/>
        </w:rPr>
        <w:t xml:space="preserve">alth, Fisheries and Engineering </w:t>
      </w:r>
      <w:r w:rsidRPr="008657CC">
        <w:rPr>
          <w:rFonts w:ascii="Verdana" w:eastAsia="Times New Roman" w:hAnsi="Verdana"/>
          <w:color w:val="222222"/>
          <w:sz w:val="17"/>
          <w:szCs w:val="17"/>
        </w:rPr>
        <w:t>Technology Environments</w:t>
      </w:r>
    </w:p>
    <w:p w:rsidR="00EB1D6F" w:rsidRDefault="00EB1D6F" w:rsidP="00EB1D6F">
      <w:pPr>
        <w:widowControl/>
        <w:shd w:val="clear" w:color="auto" w:fill="FFFFFF"/>
        <w:autoSpaceDE/>
        <w:autoSpaceDN/>
        <w:adjustRightInd/>
        <w:spacing w:after="15"/>
        <w:rPr>
          <w:rFonts w:ascii="Verdana" w:eastAsia="Times New Roman" w:hAnsi="Verdana"/>
          <w:color w:val="222222"/>
          <w:sz w:val="17"/>
          <w:szCs w:val="17"/>
        </w:rPr>
      </w:pPr>
    </w:p>
    <w:p w:rsidR="00EB1D6F" w:rsidRPr="008657CC" w:rsidRDefault="00EB1D6F" w:rsidP="00EB1D6F">
      <w:pPr>
        <w:widowControl/>
        <w:shd w:val="clear" w:color="auto" w:fill="FFFFFF"/>
        <w:autoSpaceDE/>
        <w:autoSpaceDN/>
        <w:adjustRightInd/>
        <w:spacing w:after="15"/>
        <w:rPr>
          <w:rFonts w:ascii="Verdana" w:eastAsia="Times New Roman" w:hAnsi="Verdana"/>
          <w:color w:val="222222"/>
          <w:sz w:val="17"/>
          <w:szCs w:val="17"/>
        </w:rPr>
      </w:pPr>
    </w:p>
    <w:p w:rsidR="00EB1D6F" w:rsidRDefault="00FF14C2" w:rsidP="00EB1D6F">
      <w:pPr>
        <w:pStyle w:val="ListParagraph"/>
        <w:numPr>
          <w:ilvl w:val="0"/>
          <w:numId w:val="16"/>
        </w:numPr>
      </w:pPr>
      <w:r>
        <w:t>Marine Biology (Ocean Sciences)</w:t>
      </w:r>
    </w:p>
    <w:p w:rsidR="00FF14C2" w:rsidRDefault="00FF14C2" w:rsidP="00FF14C2">
      <w:pPr>
        <w:pStyle w:val="ListParagraph"/>
      </w:pPr>
    </w:p>
    <w:p w:rsidR="00FF14C2" w:rsidRDefault="00FF14C2" w:rsidP="00FF14C2">
      <w:pPr>
        <w:pStyle w:val="ListParagraph"/>
      </w:pPr>
      <w:r>
        <w:t>Conditional approval (pending approval by the Faculty Council of Science April 18</w:t>
      </w:r>
      <w:r w:rsidRPr="00FF14C2">
        <w:rPr>
          <w:vertAlign w:val="superscript"/>
        </w:rPr>
        <w:t>th</w:t>
      </w:r>
      <w:r>
        <w:t>) for a block of special topics numbers OCSC 7500-7515, with calendar revisions to sections 24.17.2 and 33.25.2.</w:t>
      </w:r>
    </w:p>
    <w:p w:rsidR="00FF14C2" w:rsidRDefault="00FF14C2" w:rsidP="00FF14C2">
      <w:pPr>
        <w:pStyle w:val="ListParagraph"/>
      </w:pPr>
    </w:p>
    <w:p w:rsidR="00FF14C2" w:rsidRDefault="00FF14C2" w:rsidP="00FF14C2">
      <w:pPr>
        <w:pStyle w:val="ListParagraph"/>
      </w:pPr>
    </w:p>
    <w:p w:rsidR="00A50B1E" w:rsidRPr="00A50B1E" w:rsidRDefault="00A50B1E" w:rsidP="00A50B1E">
      <w:pPr>
        <w:shd w:val="clear" w:color="auto" w:fill="FFFFFF"/>
        <w:spacing w:line="264" w:lineRule="atLeast"/>
        <w:ind w:left="709"/>
        <w:rPr>
          <w:rFonts w:eastAsia="Times New Roman"/>
          <w:b/>
          <w:bCs/>
          <w:color w:val="990000"/>
        </w:rPr>
      </w:pPr>
      <w:r w:rsidRPr="00A50B1E">
        <w:rPr>
          <w:rFonts w:eastAsia="Times New Roman"/>
          <w:b/>
          <w:bCs/>
          <w:color w:val="990000"/>
        </w:rPr>
        <w:t>24.17.2 Courses</w:t>
      </w:r>
      <w:bookmarkStart w:id="1" w:name="GRAD-6995"/>
      <w:bookmarkEnd w:id="1"/>
    </w:p>
    <w:p w:rsidR="00A50B1E" w:rsidRPr="00910893" w:rsidRDefault="00A50B1E" w:rsidP="00A50B1E">
      <w:pPr>
        <w:shd w:val="clear" w:color="auto" w:fill="FFFFFF"/>
        <w:spacing w:after="15"/>
        <w:ind w:left="709"/>
        <w:rPr>
          <w:rFonts w:ascii="Verdana" w:eastAsia="Times New Roman" w:hAnsi="Verdana"/>
          <w:color w:val="222222"/>
          <w:sz w:val="17"/>
          <w:szCs w:val="17"/>
        </w:rPr>
      </w:pPr>
      <w:r w:rsidRPr="00910893">
        <w:rPr>
          <w:rFonts w:ascii="Verdana" w:eastAsia="Times New Roman" w:hAnsi="Verdana"/>
          <w:color w:val="222222"/>
          <w:sz w:val="17"/>
          <w:szCs w:val="17"/>
        </w:rPr>
        <w:t>A selection of the following graduate courses will be offered to meet the requirements of candidates, as far as the resources of the Department will allow.</w:t>
      </w:r>
    </w:p>
    <w:p w:rsidR="00A50B1E" w:rsidRPr="00910893" w:rsidRDefault="00A50B1E" w:rsidP="00A50B1E">
      <w:pPr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rPr>
          <w:rFonts w:ascii="Verdana" w:eastAsia="Times New Roman" w:hAnsi="Verdana"/>
          <w:color w:val="222222"/>
          <w:sz w:val="17"/>
          <w:szCs w:val="17"/>
        </w:rPr>
      </w:pPr>
      <w:r w:rsidRPr="00910893">
        <w:rPr>
          <w:rFonts w:ascii="Verdana" w:eastAsia="Times New Roman" w:hAnsi="Verdana"/>
          <w:color w:val="222222"/>
          <w:sz w:val="17"/>
          <w:szCs w:val="17"/>
        </w:rPr>
        <w:t>OCSC 7000 Graduate Core Seminar </w:t>
      </w:r>
      <w:r w:rsidRPr="00910893">
        <w:rPr>
          <w:rFonts w:ascii="Verdana" w:eastAsia="Times New Roman" w:hAnsi="Verdana"/>
          <w:i/>
          <w:iCs/>
          <w:color w:val="222222"/>
          <w:sz w:val="17"/>
          <w:szCs w:val="17"/>
        </w:rPr>
        <w:t>(cross-listed as Biology 7000)</w:t>
      </w:r>
    </w:p>
    <w:p w:rsidR="00A50B1E" w:rsidRPr="00A50B1E" w:rsidRDefault="00A50B1E" w:rsidP="00A50B1E">
      <w:pPr>
        <w:pStyle w:val="ListParagraph"/>
        <w:widowControl/>
        <w:numPr>
          <w:ilvl w:val="0"/>
          <w:numId w:val="25"/>
        </w:numPr>
        <w:shd w:val="clear" w:color="auto" w:fill="FFFFFF"/>
        <w:tabs>
          <w:tab w:val="left" w:pos="1134"/>
        </w:tabs>
        <w:autoSpaceDE/>
        <w:autoSpaceDN/>
        <w:adjustRightInd/>
        <w:ind w:left="1134" w:hanging="425"/>
        <w:rPr>
          <w:rFonts w:ascii="Verdana" w:eastAsia="Times New Roman" w:hAnsi="Verdana"/>
          <w:color w:val="222222"/>
          <w:sz w:val="17"/>
          <w:szCs w:val="17"/>
        </w:rPr>
      </w:pPr>
      <w:r w:rsidRPr="00A50B1E">
        <w:rPr>
          <w:rFonts w:ascii="Verdana" w:eastAsia="Times New Roman" w:hAnsi="Verdana"/>
          <w:color w:val="222222"/>
          <w:sz w:val="17"/>
          <w:szCs w:val="17"/>
        </w:rPr>
        <w:t>OCSC 7100 Biological Oceanography (</w:t>
      </w:r>
      <w:r w:rsidRPr="00A50B1E">
        <w:rPr>
          <w:rFonts w:ascii="Verdana" w:eastAsia="Times New Roman" w:hAnsi="Verdana"/>
          <w:i/>
          <w:iCs/>
          <w:color w:val="222222"/>
          <w:sz w:val="17"/>
          <w:szCs w:val="17"/>
        </w:rPr>
        <w:t>credit cannot be obtained for both OCSC 7100 and the former Biology/OCSC 7531</w:t>
      </w:r>
      <w:r w:rsidRPr="00A50B1E">
        <w:rPr>
          <w:rFonts w:ascii="Verdana" w:eastAsia="Times New Roman" w:hAnsi="Verdana"/>
          <w:color w:val="222222"/>
          <w:sz w:val="17"/>
          <w:szCs w:val="17"/>
        </w:rPr>
        <w:t>)</w:t>
      </w:r>
    </w:p>
    <w:p w:rsidR="00A50B1E" w:rsidRPr="00910893" w:rsidRDefault="00A50B1E" w:rsidP="00A50B1E">
      <w:pPr>
        <w:widowControl/>
        <w:numPr>
          <w:ilvl w:val="0"/>
          <w:numId w:val="23"/>
        </w:numPr>
        <w:shd w:val="clear" w:color="auto" w:fill="FFFFFF"/>
        <w:tabs>
          <w:tab w:val="clear" w:pos="720"/>
          <w:tab w:val="num" w:pos="1134"/>
        </w:tabs>
        <w:autoSpaceDE/>
        <w:autoSpaceDN/>
        <w:adjustRightInd/>
        <w:ind w:left="1134" w:hanging="425"/>
        <w:rPr>
          <w:rFonts w:ascii="Verdana" w:eastAsia="Times New Roman" w:hAnsi="Verdana"/>
          <w:color w:val="222222"/>
          <w:sz w:val="17"/>
          <w:szCs w:val="17"/>
        </w:rPr>
      </w:pPr>
      <w:r w:rsidRPr="00910893">
        <w:rPr>
          <w:rFonts w:ascii="Verdana" w:eastAsia="Times New Roman" w:hAnsi="Verdana"/>
          <w:color w:val="222222"/>
          <w:sz w:val="17"/>
          <w:szCs w:val="17"/>
        </w:rPr>
        <w:t>OCSC 7200 Adaptations to the Marine Environment (</w:t>
      </w:r>
      <w:r w:rsidRPr="00910893">
        <w:rPr>
          <w:rFonts w:ascii="Verdana" w:eastAsia="Times New Roman" w:hAnsi="Verdana"/>
          <w:i/>
          <w:iCs/>
          <w:color w:val="222222"/>
          <w:sz w:val="17"/>
          <w:szCs w:val="17"/>
        </w:rPr>
        <w:t>credit cannot be obtained for both OCSC 7200 and the former Biology/OCSC 7561</w:t>
      </w:r>
      <w:r w:rsidRPr="00910893">
        <w:rPr>
          <w:rFonts w:ascii="Verdana" w:eastAsia="Times New Roman" w:hAnsi="Verdana"/>
          <w:color w:val="222222"/>
          <w:sz w:val="17"/>
          <w:szCs w:val="17"/>
        </w:rPr>
        <w:t>)</w:t>
      </w:r>
    </w:p>
    <w:p w:rsidR="00A50B1E" w:rsidRPr="00910893" w:rsidRDefault="00A50B1E" w:rsidP="00A50B1E">
      <w:pPr>
        <w:widowControl/>
        <w:numPr>
          <w:ilvl w:val="0"/>
          <w:numId w:val="23"/>
        </w:numPr>
        <w:shd w:val="clear" w:color="auto" w:fill="FFFFFF"/>
        <w:tabs>
          <w:tab w:val="clear" w:pos="720"/>
          <w:tab w:val="num" w:pos="1134"/>
        </w:tabs>
        <w:autoSpaceDE/>
        <w:autoSpaceDN/>
        <w:adjustRightInd/>
        <w:ind w:left="1134" w:hanging="425"/>
        <w:rPr>
          <w:rFonts w:ascii="Verdana" w:eastAsia="Times New Roman" w:hAnsi="Verdana"/>
          <w:color w:val="222222"/>
          <w:sz w:val="17"/>
          <w:szCs w:val="17"/>
        </w:rPr>
      </w:pPr>
      <w:r w:rsidRPr="00910893">
        <w:rPr>
          <w:rFonts w:ascii="Verdana" w:eastAsia="Times New Roman" w:hAnsi="Verdana"/>
          <w:color w:val="222222"/>
          <w:sz w:val="17"/>
          <w:szCs w:val="17"/>
        </w:rPr>
        <w:t>OCSC 7300 Plankton Dynamics (</w:t>
      </w:r>
      <w:r w:rsidRPr="00910893">
        <w:rPr>
          <w:rFonts w:ascii="Verdana" w:eastAsia="Times New Roman" w:hAnsi="Verdana"/>
          <w:i/>
          <w:iCs/>
          <w:color w:val="222222"/>
          <w:sz w:val="17"/>
          <w:szCs w:val="17"/>
        </w:rPr>
        <w:t>credit cannot be obtained for both OCSC 7300 and the former Biology/OCSC 7540</w:t>
      </w:r>
      <w:r w:rsidRPr="00910893">
        <w:rPr>
          <w:rFonts w:ascii="Verdana" w:eastAsia="Times New Roman" w:hAnsi="Verdana"/>
          <w:color w:val="222222"/>
          <w:sz w:val="17"/>
          <w:szCs w:val="17"/>
        </w:rPr>
        <w:t>)</w:t>
      </w:r>
    </w:p>
    <w:p w:rsidR="00A50B1E" w:rsidRDefault="00A50B1E" w:rsidP="00A50B1E">
      <w:pPr>
        <w:widowControl/>
        <w:numPr>
          <w:ilvl w:val="0"/>
          <w:numId w:val="23"/>
        </w:numPr>
        <w:shd w:val="clear" w:color="auto" w:fill="FFFFFF"/>
        <w:tabs>
          <w:tab w:val="clear" w:pos="720"/>
          <w:tab w:val="num" w:pos="1134"/>
        </w:tabs>
        <w:autoSpaceDE/>
        <w:autoSpaceDN/>
        <w:adjustRightInd/>
        <w:ind w:left="1134" w:hanging="425"/>
        <w:rPr>
          <w:rFonts w:ascii="Verdana" w:eastAsia="Times New Roman" w:hAnsi="Verdana"/>
          <w:color w:val="222222"/>
          <w:sz w:val="17"/>
          <w:szCs w:val="17"/>
        </w:rPr>
      </w:pPr>
      <w:r w:rsidRPr="00910893">
        <w:rPr>
          <w:rFonts w:ascii="Verdana" w:eastAsia="Times New Roman" w:hAnsi="Verdana"/>
          <w:color w:val="222222"/>
          <w:sz w:val="17"/>
          <w:szCs w:val="17"/>
        </w:rPr>
        <w:t>OCSC 7400 Fisheries Resource Management (</w:t>
      </w:r>
      <w:r w:rsidRPr="00910893">
        <w:rPr>
          <w:rFonts w:ascii="Verdana" w:eastAsia="Times New Roman" w:hAnsi="Verdana"/>
          <w:i/>
          <w:iCs/>
          <w:color w:val="222222"/>
          <w:sz w:val="17"/>
          <w:szCs w:val="17"/>
        </w:rPr>
        <w:t>credit cannot be obtained for both OCSC 7400 and the former Biology/OCSC 7551</w:t>
      </w:r>
      <w:r w:rsidRPr="00910893">
        <w:rPr>
          <w:rFonts w:ascii="Verdana" w:eastAsia="Times New Roman" w:hAnsi="Verdana"/>
          <w:color w:val="222222"/>
          <w:sz w:val="17"/>
          <w:szCs w:val="17"/>
        </w:rPr>
        <w:t>)</w:t>
      </w:r>
    </w:p>
    <w:p w:rsidR="00A50B1E" w:rsidRPr="00910893" w:rsidRDefault="00A50B1E" w:rsidP="00A50B1E">
      <w:pPr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rPr>
          <w:rFonts w:ascii="Verdana" w:eastAsia="Times New Roman" w:hAnsi="Verdana"/>
          <w:color w:val="222222"/>
          <w:sz w:val="17"/>
          <w:szCs w:val="17"/>
        </w:rPr>
      </w:pPr>
      <w:r>
        <w:rPr>
          <w:rFonts w:ascii="Verdana" w:eastAsia="Times New Roman" w:hAnsi="Verdana"/>
          <w:b/>
          <w:color w:val="222222"/>
          <w:sz w:val="17"/>
          <w:szCs w:val="17"/>
          <w:u w:val="single"/>
        </w:rPr>
        <w:t>OCSC 7500-7515 Special Topics in Marine Biology</w:t>
      </w:r>
    </w:p>
    <w:p w:rsidR="00A50B1E" w:rsidRDefault="00A50B1E" w:rsidP="00A50B1E">
      <w:pPr>
        <w:shd w:val="clear" w:color="auto" w:fill="FFFFFF"/>
        <w:ind w:left="709"/>
        <w:rPr>
          <w:rFonts w:ascii="Verdana" w:eastAsia="Times New Roman" w:hAnsi="Verdana"/>
          <w:b/>
          <w:color w:val="222222"/>
          <w:sz w:val="17"/>
          <w:szCs w:val="17"/>
          <w:u w:val="single"/>
        </w:rPr>
      </w:pPr>
    </w:p>
    <w:p w:rsidR="00A50B1E" w:rsidRDefault="00A50B1E" w:rsidP="00A50B1E">
      <w:pPr>
        <w:shd w:val="clear" w:color="auto" w:fill="FFFFFF"/>
        <w:ind w:left="709"/>
        <w:rPr>
          <w:rFonts w:ascii="Verdana" w:eastAsia="Times New Roman" w:hAnsi="Verdana"/>
          <w:b/>
          <w:color w:val="222222"/>
          <w:sz w:val="17"/>
          <w:szCs w:val="17"/>
          <w:u w:val="single"/>
        </w:rPr>
      </w:pPr>
    </w:p>
    <w:p w:rsidR="00A50B1E" w:rsidRDefault="00A50B1E" w:rsidP="00A50B1E">
      <w:pPr>
        <w:shd w:val="clear" w:color="auto" w:fill="FFFFFF"/>
        <w:ind w:left="709"/>
        <w:rPr>
          <w:rFonts w:ascii="Verdana" w:eastAsia="Times New Roman" w:hAnsi="Verdana"/>
          <w:b/>
          <w:color w:val="222222"/>
          <w:sz w:val="17"/>
          <w:szCs w:val="17"/>
          <w:u w:val="single"/>
        </w:rPr>
      </w:pPr>
    </w:p>
    <w:p w:rsidR="00A50B1E" w:rsidRPr="00A50B1E" w:rsidRDefault="00A50B1E" w:rsidP="00A50B1E">
      <w:pPr>
        <w:shd w:val="clear" w:color="auto" w:fill="FFFFFF"/>
        <w:spacing w:line="264" w:lineRule="atLeast"/>
        <w:ind w:left="709"/>
        <w:rPr>
          <w:rFonts w:eastAsia="Times New Roman"/>
          <w:b/>
          <w:bCs/>
          <w:color w:val="990000"/>
        </w:rPr>
      </w:pPr>
      <w:r w:rsidRPr="00A50B1E">
        <w:rPr>
          <w:rFonts w:eastAsia="Times New Roman"/>
          <w:b/>
          <w:bCs/>
          <w:color w:val="990000"/>
        </w:rPr>
        <w:t>33.25.2 Courses</w:t>
      </w:r>
      <w:bookmarkStart w:id="2" w:name="GRAD-7019"/>
      <w:bookmarkEnd w:id="2"/>
    </w:p>
    <w:p w:rsidR="00A50B1E" w:rsidRPr="00910893" w:rsidRDefault="00A50B1E" w:rsidP="00A50B1E">
      <w:pPr>
        <w:shd w:val="clear" w:color="auto" w:fill="FFFFFF"/>
        <w:spacing w:after="15"/>
        <w:ind w:left="709"/>
        <w:rPr>
          <w:rFonts w:ascii="Verdana" w:eastAsia="Times New Roman" w:hAnsi="Verdana"/>
          <w:color w:val="222222"/>
          <w:sz w:val="17"/>
          <w:szCs w:val="17"/>
        </w:rPr>
      </w:pPr>
      <w:r w:rsidRPr="00910893">
        <w:rPr>
          <w:rFonts w:ascii="Verdana" w:eastAsia="Times New Roman" w:hAnsi="Verdana"/>
          <w:color w:val="222222"/>
          <w:sz w:val="17"/>
          <w:szCs w:val="17"/>
        </w:rPr>
        <w:t>A selection of the following graduate courses will be offered to meet the requirements of candidates, as far as the resources of the Department will allow.</w:t>
      </w:r>
    </w:p>
    <w:p w:rsidR="00A50B1E" w:rsidRPr="00910893" w:rsidRDefault="00A50B1E" w:rsidP="00A50B1E">
      <w:pPr>
        <w:widowControl/>
        <w:numPr>
          <w:ilvl w:val="0"/>
          <w:numId w:val="24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rPr>
          <w:rFonts w:ascii="Verdana" w:eastAsia="Times New Roman" w:hAnsi="Verdana"/>
          <w:color w:val="222222"/>
          <w:sz w:val="17"/>
          <w:szCs w:val="17"/>
        </w:rPr>
      </w:pPr>
      <w:r w:rsidRPr="00910893">
        <w:rPr>
          <w:rFonts w:ascii="Verdana" w:eastAsia="Times New Roman" w:hAnsi="Verdana"/>
          <w:color w:val="222222"/>
          <w:sz w:val="17"/>
          <w:szCs w:val="17"/>
        </w:rPr>
        <w:t>OCSC 7000 Graduate Core Seminar </w:t>
      </w:r>
      <w:r w:rsidRPr="00910893">
        <w:rPr>
          <w:rFonts w:ascii="Verdana" w:eastAsia="Times New Roman" w:hAnsi="Verdana"/>
          <w:i/>
          <w:iCs/>
          <w:color w:val="222222"/>
          <w:sz w:val="17"/>
          <w:szCs w:val="17"/>
        </w:rPr>
        <w:t>(cross-listed as Biology 7000)</w:t>
      </w:r>
    </w:p>
    <w:p w:rsidR="00A50B1E" w:rsidRPr="00910893" w:rsidRDefault="00A50B1E" w:rsidP="00A50B1E">
      <w:pPr>
        <w:widowControl/>
        <w:numPr>
          <w:ilvl w:val="0"/>
          <w:numId w:val="24"/>
        </w:numPr>
        <w:shd w:val="clear" w:color="auto" w:fill="FFFFFF"/>
        <w:tabs>
          <w:tab w:val="clear" w:pos="720"/>
          <w:tab w:val="num" w:pos="1276"/>
        </w:tabs>
        <w:autoSpaceDE/>
        <w:autoSpaceDN/>
        <w:adjustRightInd/>
        <w:ind w:left="1134" w:hanging="425"/>
        <w:rPr>
          <w:rFonts w:ascii="Verdana" w:eastAsia="Times New Roman" w:hAnsi="Verdana"/>
          <w:color w:val="222222"/>
          <w:sz w:val="17"/>
          <w:szCs w:val="17"/>
        </w:rPr>
      </w:pPr>
      <w:r w:rsidRPr="00910893">
        <w:rPr>
          <w:rFonts w:ascii="Verdana" w:eastAsia="Times New Roman" w:hAnsi="Verdana"/>
          <w:color w:val="222222"/>
          <w:sz w:val="17"/>
          <w:szCs w:val="17"/>
        </w:rPr>
        <w:t>OCSC 7100 Biological Oceanography (</w:t>
      </w:r>
      <w:r w:rsidRPr="00910893">
        <w:rPr>
          <w:rFonts w:ascii="Verdana" w:eastAsia="Times New Roman" w:hAnsi="Verdana"/>
          <w:i/>
          <w:iCs/>
          <w:color w:val="222222"/>
          <w:sz w:val="17"/>
          <w:szCs w:val="17"/>
        </w:rPr>
        <w:t>credit cannot be obtained for both OCSC 7100 and the former Biology/OCSC 7531</w:t>
      </w:r>
      <w:r w:rsidRPr="00910893">
        <w:rPr>
          <w:rFonts w:ascii="Verdana" w:eastAsia="Times New Roman" w:hAnsi="Verdana"/>
          <w:color w:val="222222"/>
          <w:sz w:val="17"/>
          <w:szCs w:val="17"/>
        </w:rPr>
        <w:t>)</w:t>
      </w:r>
    </w:p>
    <w:p w:rsidR="00A50B1E" w:rsidRPr="00910893" w:rsidRDefault="00A50B1E" w:rsidP="00A50B1E">
      <w:pPr>
        <w:widowControl/>
        <w:numPr>
          <w:ilvl w:val="0"/>
          <w:numId w:val="24"/>
        </w:numPr>
        <w:shd w:val="clear" w:color="auto" w:fill="FFFFFF"/>
        <w:tabs>
          <w:tab w:val="clear" w:pos="720"/>
          <w:tab w:val="num" w:pos="1134"/>
        </w:tabs>
        <w:autoSpaceDE/>
        <w:autoSpaceDN/>
        <w:adjustRightInd/>
        <w:ind w:left="1134" w:hanging="425"/>
        <w:rPr>
          <w:rFonts w:ascii="Verdana" w:eastAsia="Times New Roman" w:hAnsi="Verdana"/>
          <w:color w:val="222222"/>
          <w:sz w:val="17"/>
          <w:szCs w:val="17"/>
        </w:rPr>
      </w:pPr>
      <w:r w:rsidRPr="00910893">
        <w:rPr>
          <w:rFonts w:ascii="Verdana" w:eastAsia="Times New Roman" w:hAnsi="Verdana"/>
          <w:color w:val="222222"/>
          <w:sz w:val="17"/>
          <w:szCs w:val="17"/>
        </w:rPr>
        <w:t>OCSC 7200 Adaptations to the Marine Environment (</w:t>
      </w:r>
      <w:r w:rsidRPr="00910893">
        <w:rPr>
          <w:rFonts w:ascii="Verdana" w:eastAsia="Times New Roman" w:hAnsi="Verdana"/>
          <w:i/>
          <w:iCs/>
          <w:color w:val="222222"/>
          <w:sz w:val="17"/>
          <w:szCs w:val="17"/>
        </w:rPr>
        <w:t>credit cannot be obtained for both OCSC 7200 and the former Biology/OCSC 7561</w:t>
      </w:r>
      <w:r w:rsidRPr="00910893">
        <w:rPr>
          <w:rFonts w:ascii="Verdana" w:eastAsia="Times New Roman" w:hAnsi="Verdana"/>
          <w:color w:val="222222"/>
          <w:sz w:val="17"/>
          <w:szCs w:val="17"/>
        </w:rPr>
        <w:t>)</w:t>
      </w:r>
    </w:p>
    <w:p w:rsidR="00A50B1E" w:rsidRPr="00910893" w:rsidRDefault="00A50B1E" w:rsidP="00A50B1E">
      <w:pPr>
        <w:widowControl/>
        <w:numPr>
          <w:ilvl w:val="0"/>
          <w:numId w:val="24"/>
        </w:numPr>
        <w:shd w:val="clear" w:color="auto" w:fill="FFFFFF"/>
        <w:tabs>
          <w:tab w:val="clear" w:pos="720"/>
          <w:tab w:val="num" w:pos="1134"/>
        </w:tabs>
        <w:autoSpaceDE/>
        <w:autoSpaceDN/>
        <w:adjustRightInd/>
        <w:ind w:left="1134" w:hanging="425"/>
        <w:rPr>
          <w:rFonts w:ascii="Verdana" w:eastAsia="Times New Roman" w:hAnsi="Verdana"/>
          <w:color w:val="222222"/>
          <w:sz w:val="17"/>
          <w:szCs w:val="17"/>
        </w:rPr>
      </w:pPr>
      <w:r w:rsidRPr="00910893">
        <w:rPr>
          <w:rFonts w:ascii="Verdana" w:eastAsia="Times New Roman" w:hAnsi="Verdana"/>
          <w:color w:val="222222"/>
          <w:sz w:val="17"/>
          <w:szCs w:val="17"/>
        </w:rPr>
        <w:t>OCSC 7300 Plankton Dynamics (</w:t>
      </w:r>
      <w:r w:rsidRPr="00910893">
        <w:rPr>
          <w:rFonts w:ascii="Verdana" w:eastAsia="Times New Roman" w:hAnsi="Verdana"/>
          <w:i/>
          <w:iCs/>
          <w:color w:val="222222"/>
          <w:sz w:val="17"/>
          <w:szCs w:val="17"/>
        </w:rPr>
        <w:t>credit cannot be obtained for both OCSC 7300 and the former Biology/OCSC 7540</w:t>
      </w:r>
      <w:r w:rsidRPr="00910893">
        <w:rPr>
          <w:rFonts w:ascii="Verdana" w:eastAsia="Times New Roman" w:hAnsi="Verdana"/>
          <w:color w:val="222222"/>
          <w:sz w:val="17"/>
          <w:szCs w:val="17"/>
        </w:rPr>
        <w:t>)</w:t>
      </w:r>
    </w:p>
    <w:p w:rsidR="00A50B1E" w:rsidRDefault="00A50B1E" w:rsidP="00A50B1E">
      <w:pPr>
        <w:widowControl/>
        <w:numPr>
          <w:ilvl w:val="0"/>
          <w:numId w:val="24"/>
        </w:numPr>
        <w:shd w:val="clear" w:color="auto" w:fill="FFFFFF"/>
        <w:tabs>
          <w:tab w:val="clear" w:pos="720"/>
          <w:tab w:val="num" w:pos="1134"/>
        </w:tabs>
        <w:autoSpaceDE/>
        <w:autoSpaceDN/>
        <w:adjustRightInd/>
        <w:ind w:left="1134" w:hanging="425"/>
        <w:rPr>
          <w:rFonts w:ascii="Verdana" w:eastAsia="Times New Roman" w:hAnsi="Verdana"/>
          <w:color w:val="222222"/>
          <w:sz w:val="17"/>
          <w:szCs w:val="17"/>
        </w:rPr>
      </w:pPr>
      <w:r w:rsidRPr="00910893">
        <w:rPr>
          <w:rFonts w:ascii="Verdana" w:eastAsia="Times New Roman" w:hAnsi="Verdana"/>
          <w:color w:val="222222"/>
          <w:sz w:val="17"/>
          <w:szCs w:val="17"/>
        </w:rPr>
        <w:t>OCSC 7400 Fisheries Resource Management (</w:t>
      </w:r>
      <w:r w:rsidRPr="00910893">
        <w:rPr>
          <w:rFonts w:ascii="Verdana" w:eastAsia="Times New Roman" w:hAnsi="Verdana"/>
          <w:i/>
          <w:iCs/>
          <w:color w:val="222222"/>
          <w:sz w:val="17"/>
          <w:szCs w:val="17"/>
        </w:rPr>
        <w:t>credit cannot be obtained for both OCSC 7400 and the former Biology/OCSC 7551</w:t>
      </w:r>
      <w:r w:rsidRPr="00910893">
        <w:rPr>
          <w:rFonts w:ascii="Verdana" w:eastAsia="Times New Roman" w:hAnsi="Verdana"/>
          <w:color w:val="222222"/>
          <w:sz w:val="17"/>
          <w:szCs w:val="17"/>
        </w:rPr>
        <w:t>)</w:t>
      </w:r>
    </w:p>
    <w:p w:rsidR="00A50B1E" w:rsidRPr="00910893" w:rsidRDefault="00A50B1E" w:rsidP="00A50B1E">
      <w:pPr>
        <w:widowControl/>
        <w:numPr>
          <w:ilvl w:val="0"/>
          <w:numId w:val="24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rPr>
          <w:rFonts w:ascii="Verdana" w:eastAsia="Times New Roman" w:hAnsi="Verdana"/>
          <w:color w:val="222222"/>
          <w:sz w:val="17"/>
          <w:szCs w:val="17"/>
        </w:rPr>
      </w:pPr>
      <w:r>
        <w:rPr>
          <w:rFonts w:ascii="Verdana" w:eastAsia="Times New Roman" w:hAnsi="Verdana"/>
          <w:b/>
          <w:color w:val="222222"/>
          <w:sz w:val="17"/>
          <w:szCs w:val="17"/>
          <w:u w:val="single"/>
        </w:rPr>
        <w:t>OCSC 7500-7515 Special Topics in Marine Biology</w:t>
      </w:r>
    </w:p>
    <w:p w:rsidR="00A50B1E" w:rsidRPr="00910893" w:rsidRDefault="00A50B1E" w:rsidP="00A50B1E">
      <w:pPr>
        <w:ind w:left="709"/>
        <w:rPr>
          <w:b/>
          <w:u w:val="single"/>
        </w:rPr>
      </w:pPr>
    </w:p>
    <w:p w:rsidR="00DD7667" w:rsidRDefault="00DD7667" w:rsidP="00A50B1E">
      <w:pPr>
        <w:pStyle w:val="ListParagraph"/>
        <w:widowControl/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9"/>
      </w:pPr>
    </w:p>
    <w:p w:rsidR="00E26E2C" w:rsidRPr="00A75637" w:rsidRDefault="00E26E2C" w:rsidP="00A75637">
      <w:pPr>
        <w:pStyle w:val="ListParagraph"/>
        <w:ind w:left="284" w:firstLine="425"/>
        <w:rPr>
          <w:bCs/>
        </w:rPr>
      </w:pPr>
    </w:p>
    <w:p w:rsidR="00E26E2C" w:rsidRDefault="00E26E2C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bookmarkStart w:id="3" w:name="GRAD-6840"/>
      <w:bookmarkEnd w:id="3"/>
    </w:p>
    <w:p w:rsidR="00E26E2C" w:rsidRDefault="00E26E2C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E26E2C" w:rsidRDefault="00E26E2C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BB572B" w:rsidRPr="00A75637" w:rsidRDefault="00BB572B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A75637">
        <w:tab/>
      </w:r>
    </w:p>
    <w:p w:rsidR="00BB572B" w:rsidRPr="00A75637" w:rsidRDefault="00BB572B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A75637">
        <w:t>___________________________________</w:t>
      </w:r>
      <w:r w:rsidR="00A75637" w:rsidRPr="00A75637">
        <w:tab/>
      </w:r>
      <w:r w:rsidR="00A75637" w:rsidRPr="00A75637">
        <w:tab/>
        <w:t>_______________________________</w:t>
      </w:r>
    </w:p>
    <w:p w:rsidR="00BB572B" w:rsidRPr="00A75637" w:rsidRDefault="00A75637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A75637">
        <w:t>Aimée Surprenant</w:t>
      </w:r>
      <w:r w:rsidR="00BB572B" w:rsidRPr="00A75637">
        <w:t>, Chair</w:t>
      </w:r>
      <w:r w:rsidRPr="00A75637">
        <w:tab/>
      </w:r>
      <w:r w:rsidRPr="00A75637">
        <w:tab/>
      </w:r>
      <w:r w:rsidRPr="00A75637">
        <w:tab/>
      </w:r>
      <w:r w:rsidRPr="00A75637">
        <w:tab/>
      </w:r>
      <w:r w:rsidR="00781B24">
        <w:t>Echo Pittman, Secretary</w:t>
      </w:r>
    </w:p>
    <w:p w:rsidR="00766E56" w:rsidRPr="00A75637" w:rsidRDefault="00766E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2340"/>
      </w:pPr>
    </w:p>
    <w:sectPr w:rsidR="00766E56" w:rsidRPr="00A75637" w:rsidSect="00116955">
      <w:footerReference w:type="default" r:id="rId8"/>
      <w:pgSz w:w="12240" w:h="15840"/>
      <w:pgMar w:top="1956" w:right="1349" w:bottom="1440" w:left="1797" w:header="1956" w:footer="1440" w:gutter="0"/>
      <w:pgNumType w:start="26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A08" w:rsidRDefault="006B7A08" w:rsidP="00766E56">
      <w:r>
        <w:separator/>
      </w:r>
    </w:p>
  </w:endnote>
  <w:endnote w:type="continuationSeparator" w:id="0">
    <w:p w:rsidR="006B7A08" w:rsidRDefault="006B7A08" w:rsidP="0076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08" w:rsidRDefault="006B7A08"/>
  <w:p w:rsidR="006B7A08" w:rsidRDefault="006B7A08">
    <w:pPr>
      <w:rPr>
        <w:rFonts w:ascii="Shruti" w:hAnsi="Shruti" w:cs="Shrut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A08" w:rsidRDefault="006B7A08" w:rsidP="00766E56">
      <w:r>
        <w:separator/>
      </w:r>
    </w:p>
  </w:footnote>
  <w:footnote w:type="continuationSeparator" w:id="0">
    <w:p w:rsidR="006B7A08" w:rsidRDefault="006B7A08" w:rsidP="00766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83F"/>
    <w:multiLevelType w:val="hybridMultilevel"/>
    <w:tmpl w:val="24ECDD86"/>
    <w:lvl w:ilvl="0" w:tplc="C7406166">
      <w:start w:val="3"/>
      <w:numFmt w:val="bullet"/>
      <w:lvlText w:val="-"/>
      <w:lvlJc w:val="left"/>
      <w:pPr>
        <w:ind w:left="1080" w:hanging="360"/>
      </w:pPr>
      <w:rPr>
        <w:rFonts w:ascii="Shruti" w:eastAsiaTheme="minorEastAsia" w:hAnsi="Shruti" w:cs="Shrut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421FC"/>
    <w:multiLevelType w:val="hybridMultilevel"/>
    <w:tmpl w:val="1812DAC4"/>
    <w:lvl w:ilvl="0" w:tplc="1D48A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E2F43"/>
    <w:multiLevelType w:val="hybridMultilevel"/>
    <w:tmpl w:val="5472F8A2"/>
    <w:lvl w:ilvl="0" w:tplc="4BCEA3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923B80"/>
    <w:multiLevelType w:val="hybridMultilevel"/>
    <w:tmpl w:val="A876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028E3"/>
    <w:multiLevelType w:val="hybridMultilevel"/>
    <w:tmpl w:val="49AA7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00B80"/>
    <w:multiLevelType w:val="multilevel"/>
    <w:tmpl w:val="9E78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967A9A"/>
    <w:multiLevelType w:val="multilevel"/>
    <w:tmpl w:val="8F54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E5265"/>
    <w:multiLevelType w:val="hybridMultilevel"/>
    <w:tmpl w:val="53020A6A"/>
    <w:lvl w:ilvl="0" w:tplc="0A58175A">
      <w:start w:val="5"/>
      <w:numFmt w:val="bullet"/>
      <w:lvlText w:val="-"/>
      <w:lvlJc w:val="left"/>
      <w:pPr>
        <w:ind w:left="1440" w:hanging="360"/>
      </w:pPr>
      <w:rPr>
        <w:rFonts w:ascii="Shruti" w:eastAsiaTheme="minorEastAsia" w:hAnsi="Shruti" w:cs="Shrut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EA2A07"/>
    <w:multiLevelType w:val="multilevel"/>
    <w:tmpl w:val="1C86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A74A08"/>
    <w:multiLevelType w:val="multilevel"/>
    <w:tmpl w:val="D12CFFB0"/>
    <w:lvl w:ilvl="0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7F6B16"/>
    <w:multiLevelType w:val="hybridMultilevel"/>
    <w:tmpl w:val="B7782F80"/>
    <w:lvl w:ilvl="0" w:tplc="E40EB142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E10D2A"/>
    <w:multiLevelType w:val="hybridMultilevel"/>
    <w:tmpl w:val="87AEB290"/>
    <w:lvl w:ilvl="0" w:tplc="DA00DF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51A2F"/>
    <w:multiLevelType w:val="multilevel"/>
    <w:tmpl w:val="523A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1149D1"/>
    <w:multiLevelType w:val="multilevel"/>
    <w:tmpl w:val="413C0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4B1C0C"/>
    <w:multiLevelType w:val="hybridMultilevel"/>
    <w:tmpl w:val="1F4E70F6"/>
    <w:lvl w:ilvl="0" w:tplc="40B4BA1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7E3DDD"/>
    <w:multiLevelType w:val="hybridMultilevel"/>
    <w:tmpl w:val="1E82DE6A"/>
    <w:lvl w:ilvl="0" w:tplc="72C6B8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6071BA"/>
    <w:multiLevelType w:val="hybridMultilevel"/>
    <w:tmpl w:val="4E7EB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50F95"/>
    <w:multiLevelType w:val="hybridMultilevel"/>
    <w:tmpl w:val="F65017CC"/>
    <w:lvl w:ilvl="0" w:tplc="67CA4658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DE69D1"/>
    <w:multiLevelType w:val="hybridMultilevel"/>
    <w:tmpl w:val="6D64F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2677A"/>
    <w:multiLevelType w:val="hybridMultilevel"/>
    <w:tmpl w:val="F1F01300"/>
    <w:lvl w:ilvl="0" w:tplc="95382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4366A9"/>
    <w:multiLevelType w:val="multilevel"/>
    <w:tmpl w:val="3F9A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392CB1"/>
    <w:multiLevelType w:val="hybridMultilevel"/>
    <w:tmpl w:val="C7A6CF2A"/>
    <w:lvl w:ilvl="0" w:tplc="2502251A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D10C82"/>
    <w:multiLevelType w:val="hybridMultilevel"/>
    <w:tmpl w:val="9B66204A"/>
    <w:lvl w:ilvl="0" w:tplc="A1164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BB1A0D"/>
    <w:multiLevelType w:val="hybridMultilevel"/>
    <w:tmpl w:val="52561A32"/>
    <w:lvl w:ilvl="0" w:tplc="89723C9A">
      <w:numFmt w:val="bullet"/>
      <w:lvlText w:val="-"/>
      <w:lvlJc w:val="left"/>
      <w:pPr>
        <w:ind w:left="1440" w:hanging="360"/>
      </w:pPr>
      <w:rPr>
        <w:rFonts w:ascii="Shruti" w:eastAsiaTheme="minorEastAsia" w:hAnsi="Shruti" w:cs="Shrut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2C2312"/>
    <w:multiLevelType w:val="multilevel"/>
    <w:tmpl w:val="61C2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0"/>
  </w:num>
  <w:num w:numId="5">
    <w:abstractNumId w:val="14"/>
  </w:num>
  <w:num w:numId="6">
    <w:abstractNumId w:val="4"/>
  </w:num>
  <w:num w:numId="7">
    <w:abstractNumId w:val="15"/>
  </w:num>
  <w:num w:numId="8">
    <w:abstractNumId w:val="7"/>
  </w:num>
  <w:num w:numId="9">
    <w:abstractNumId w:val="23"/>
  </w:num>
  <w:num w:numId="10">
    <w:abstractNumId w:val="21"/>
  </w:num>
  <w:num w:numId="11">
    <w:abstractNumId w:val="19"/>
  </w:num>
  <w:num w:numId="12">
    <w:abstractNumId w:val="1"/>
  </w:num>
  <w:num w:numId="13">
    <w:abstractNumId w:val="17"/>
  </w:num>
  <w:num w:numId="14">
    <w:abstractNumId w:val="10"/>
  </w:num>
  <w:num w:numId="15">
    <w:abstractNumId w:val="2"/>
  </w:num>
  <w:num w:numId="16">
    <w:abstractNumId w:val="18"/>
  </w:num>
  <w:num w:numId="17">
    <w:abstractNumId w:val="13"/>
  </w:num>
  <w:num w:numId="18">
    <w:abstractNumId w:val="24"/>
  </w:num>
  <w:num w:numId="19">
    <w:abstractNumId w:val="5"/>
  </w:num>
  <w:num w:numId="20">
    <w:abstractNumId w:val="6"/>
  </w:num>
  <w:num w:numId="21">
    <w:abstractNumId w:val="12"/>
  </w:num>
  <w:num w:numId="22">
    <w:abstractNumId w:val="9"/>
  </w:num>
  <w:num w:numId="23">
    <w:abstractNumId w:val="20"/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56"/>
    <w:rsid w:val="00013B00"/>
    <w:rsid w:val="000208FF"/>
    <w:rsid w:val="000347B2"/>
    <w:rsid w:val="000476D7"/>
    <w:rsid w:val="00077D7D"/>
    <w:rsid w:val="00081ECC"/>
    <w:rsid w:val="00090558"/>
    <w:rsid w:val="000A4624"/>
    <w:rsid w:val="000B4B17"/>
    <w:rsid w:val="000C0CD0"/>
    <w:rsid w:val="000C0D68"/>
    <w:rsid w:val="000C1C5D"/>
    <w:rsid w:val="000E4FFE"/>
    <w:rsid w:val="00116955"/>
    <w:rsid w:val="0012441C"/>
    <w:rsid w:val="00126CA4"/>
    <w:rsid w:val="00143544"/>
    <w:rsid w:val="00152151"/>
    <w:rsid w:val="00162D63"/>
    <w:rsid w:val="0016748C"/>
    <w:rsid w:val="0017106B"/>
    <w:rsid w:val="00182456"/>
    <w:rsid w:val="001828F9"/>
    <w:rsid w:val="0018344F"/>
    <w:rsid w:val="00191327"/>
    <w:rsid w:val="00191DDB"/>
    <w:rsid w:val="0019518A"/>
    <w:rsid w:val="001972D6"/>
    <w:rsid w:val="001D27C3"/>
    <w:rsid w:val="001D4766"/>
    <w:rsid w:val="001F22CC"/>
    <w:rsid w:val="001F3CF6"/>
    <w:rsid w:val="001F4799"/>
    <w:rsid w:val="00206B5A"/>
    <w:rsid w:val="0021283D"/>
    <w:rsid w:val="00214C98"/>
    <w:rsid w:val="00215545"/>
    <w:rsid w:val="00235343"/>
    <w:rsid w:val="002551C1"/>
    <w:rsid w:val="00266D3C"/>
    <w:rsid w:val="00270E61"/>
    <w:rsid w:val="00274544"/>
    <w:rsid w:val="002852A5"/>
    <w:rsid w:val="00285F87"/>
    <w:rsid w:val="002866BE"/>
    <w:rsid w:val="002966A7"/>
    <w:rsid w:val="002A0416"/>
    <w:rsid w:val="002D408B"/>
    <w:rsid w:val="002E60CE"/>
    <w:rsid w:val="002F353B"/>
    <w:rsid w:val="0032388F"/>
    <w:rsid w:val="003278EB"/>
    <w:rsid w:val="003646AB"/>
    <w:rsid w:val="003735EC"/>
    <w:rsid w:val="003778BA"/>
    <w:rsid w:val="00397ED1"/>
    <w:rsid w:val="003C40D6"/>
    <w:rsid w:val="003C51E1"/>
    <w:rsid w:val="003D2552"/>
    <w:rsid w:val="003F3407"/>
    <w:rsid w:val="003F6A75"/>
    <w:rsid w:val="00405950"/>
    <w:rsid w:val="00413808"/>
    <w:rsid w:val="004238C9"/>
    <w:rsid w:val="00426A7F"/>
    <w:rsid w:val="00434D10"/>
    <w:rsid w:val="00445B42"/>
    <w:rsid w:val="00446DB6"/>
    <w:rsid w:val="00455386"/>
    <w:rsid w:val="00455E4A"/>
    <w:rsid w:val="00467DCE"/>
    <w:rsid w:val="00474673"/>
    <w:rsid w:val="00483AB6"/>
    <w:rsid w:val="004B5BF9"/>
    <w:rsid w:val="004F3A50"/>
    <w:rsid w:val="00500557"/>
    <w:rsid w:val="00502BCD"/>
    <w:rsid w:val="00502D25"/>
    <w:rsid w:val="0051185C"/>
    <w:rsid w:val="00515864"/>
    <w:rsid w:val="00530DCB"/>
    <w:rsid w:val="005346D3"/>
    <w:rsid w:val="00570353"/>
    <w:rsid w:val="005745D5"/>
    <w:rsid w:val="005800BE"/>
    <w:rsid w:val="005A1B31"/>
    <w:rsid w:val="005C0120"/>
    <w:rsid w:val="005C705E"/>
    <w:rsid w:val="005E6A97"/>
    <w:rsid w:val="005F50A5"/>
    <w:rsid w:val="005F615C"/>
    <w:rsid w:val="0060549A"/>
    <w:rsid w:val="0060605F"/>
    <w:rsid w:val="00611B4C"/>
    <w:rsid w:val="00627A82"/>
    <w:rsid w:val="0063135F"/>
    <w:rsid w:val="0063314F"/>
    <w:rsid w:val="0064089E"/>
    <w:rsid w:val="006528AE"/>
    <w:rsid w:val="006655D2"/>
    <w:rsid w:val="00666661"/>
    <w:rsid w:val="00667D4D"/>
    <w:rsid w:val="00670CD0"/>
    <w:rsid w:val="00673912"/>
    <w:rsid w:val="0068368E"/>
    <w:rsid w:val="0069276C"/>
    <w:rsid w:val="00694F49"/>
    <w:rsid w:val="006B7A08"/>
    <w:rsid w:val="006D52DB"/>
    <w:rsid w:val="006E30CC"/>
    <w:rsid w:val="006E6AFB"/>
    <w:rsid w:val="006F2E33"/>
    <w:rsid w:val="00704DC4"/>
    <w:rsid w:val="0070504E"/>
    <w:rsid w:val="00715438"/>
    <w:rsid w:val="00721936"/>
    <w:rsid w:val="00722819"/>
    <w:rsid w:val="00760ECF"/>
    <w:rsid w:val="007656E5"/>
    <w:rsid w:val="00766E56"/>
    <w:rsid w:val="00771670"/>
    <w:rsid w:val="0077516C"/>
    <w:rsid w:val="00781B24"/>
    <w:rsid w:val="00793BBB"/>
    <w:rsid w:val="007B4A98"/>
    <w:rsid w:val="007C203B"/>
    <w:rsid w:val="007C400C"/>
    <w:rsid w:val="007D0B78"/>
    <w:rsid w:val="007D7D39"/>
    <w:rsid w:val="007E358C"/>
    <w:rsid w:val="007F32D2"/>
    <w:rsid w:val="00804B34"/>
    <w:rsid w:val="00807A94"/>
    <w:rsid w:val="00821B4C"/>
    <w:rsid w:val="00824323"/>
    <w:rsid w:val="008302FB"/>
    <w:rsid w:val="008322BA"/>
    <w:rsid w:val="00833FE2"/>
    <w:rsid w:val="00835390"/>
    <w:rsid w:val="00853AD8"/>
    <w:rsid w:val="008635E6"/>
    <w:rsid w:val="0087324B"/>
    <w:rsid w:val="0087606D"/>
    <w:rsid w:val="008A0EB5"/>
    <w:rsid w:val="008C690B"/>
    <w:rsid w:val="008C73D2"/>
    <w:rsid w:val="008D42E5"/>
    <w:rsid w:val="008D7FB8"/>
    <w:rsid w:val="008F3ED9"/>
    <w:rsid w:val="00912DF9"/>
    <w:rsid w:val="0091360A"/>
    <w:rsid w:val="00914892"/>
    <w:rsid w:val="00935E05"/>
    <w:rsid w:val="00940FFB"/>
    <w:rsid w:val="00951F0A"/>
    <w:rsid w:val="00956AE4"/>
    <w:rsid w:val="009660E5"/>
    <w:rsid w:val="00991E8C"/>
    <w:rsid w:val="00993310"/>
    <w:rsid w:val="00997796"/>
    <w:rsid w:val="009A3695"/>
    <w:rsid w:val="009B0951"/>
    <w:rsid w:val="009B4940"/>
    <w:rsid w:val="009C2CC8"/>
    <w:rsid w:val="009D2FC4"/>
    <w:rsid w:val="009D7CE7"/>
    <w:rsid w:val="009E2514"/>
    <w:rsid w:val="00A001D3"/>
    <w:rsid w:val="00A07C20"/>
    <w:rsid w:val="00A21219"/>
    <w:rsid w:val="00A248F0"/>
    <w:rsid w:val="00A305B7"/>
    <w:rsid w:val="00A33536"/>
    <w:rsid w:val="00A4129C"/>
    <w:rsid w:val="00A42BB3"/>
    <w:rsid w:val="00A4707F"/>
    <w:rsid w:val="00A50B1E"/>
    <w:rsid w:val="00A51A41"/>
    <w:rsid w:val="00A51C3B"/>
    <w:rsid w:val="00A53999"/>
    <w:rsid w:val="00A75637"/>
    <w:rsid w:val="00A93286"/>
    <w:rsid w:val="00AB48D8"/>
    <w:rsid w:val="00AC376D"/>
    <w:rsid w:val="00AD0610"/>
    <w:rsid w:val="00AD67DF"/>
    <w:rsid w:val="00AE4944"/>
    <w:rsid w:val="00AE5E08"/>
    <w:rsid w:val="00AF4D6D"/>
    <w:rsid w:val="00B01D40"/>
    <w:rsid w:val="00B043E9"/>
    <w:rsid w:val="00B06037"/>
    <w:rsid w:val="00B11A3C"/>
    <w:rsid w:val="00B169A0"/>
    <w:rsid w:val="00B20DB8"/>
    <w:rsid w:val="00B22028"/>
    <w:rsid w:val="00B23D04"/>
    <w:rsid w:val="00B25B7A"/>
    <w:rsid w:val="00B25DB0"/>
    <w:rsid w:val="00B5345E"/>
    <w:rsid w:val="00B67457"/>
    <w:rsid w:val="00B87402"/>
    <w:rsid w:val="00B95CB6"/>
    <w:rsid w:val="00BA12BD"/>
    <w:rsid w:val="00BB2365"/>
    <w:rsid w:val="00BB572B"/>
    <w:rsid w:val="00BC7E93"/>
    <w:rsid w:val="00BF2E8C"/>
    <w:rsid w:val="00C00743"/>
    <w:rsid w:val="00C021DE"/>
    <w:rsid w:val="00C05DC8"/>
    <w:rsid w:val="00C117A4"/>
    <w:rsid w:val="00C2644C"/>
    <w:rsid w:val="00C27F85"/>
    <w:rsid w:val="00C32CB2"/>
    <w:rsid w:val="00C375D4"/>
    <w:rsid w:val="00C50899"/>
    <w:rsid w:val="00C526E6"/>
    <w:rsid w:val="00C53E76"/>
    <w:rsid w:val="00C5553C"/>
    <w:rsid w:val="00C65DA2"/>
    <w:rsid w:val="00C7250D"/>
    <w:rsid w:val="00C90AF2"/>
    <w:rsid w:val="00C9307A"/>
    <w:rsid w:val="00CA6FEC"/>
    <w:rsid w:val="00CB0AAC"/>
    <w:rsid w:val="00CB3259"/>
    <w:rsid w:val="00CC45E6"/>
    <w:rsid w:val="00CC4998"/>
    <w:rsid w:val="00CC5916"/>
    <w:rsid w:val="00CE5079"/>
    <w:rsid w:val="00D016C1"/>
    <w:rsid w:val="00D11434"/>
    <w:rsid w:val="00D2382F"/>
    <w:rsid w:val="00D37133"/>
    <w:rsid w:val="00D52F6E"/>
    <w:rsid w:val="00D612F8"/>
    <w:rsid w:val="00D760AD"/>
    <w:rsid w:val="00D81C35"/>
    <w:rsid w:val="00D87116"/>
    <w:rsid w:val="00D87261"/>
    <w:rsid w:val="00D94258"/>
    <w:rsid w:val="00D9653F"/>
    <w:rsid w:val="00DC1C96"/>
    <w:rsid w:val="00DD7667"/>
    <w:rsid w:val="00DE1381"/>
    <w:rsid w:val="00E06749"/>
    <w:rsid w:val="00E13326"/>
    <w:rsid w:val="00E152F6"/>
    <w:rsid w:val="00E16F05"/>
    <w:rsid w:val="00E266A9"/>
    <w:rsid w:val="00E26E2C"/>
    <w:rsid w:val="00E37C93"/>
    <w:rsid w:val="00E40C08"/>
    <w:rsid w:val="00E478D2"/>
    <w:rsid w:val="00E514E8"/>
    <w:rsid w:val="00E54F3E"/>
    <w:rsid w:val="00E73258"/>
    <w:rsid w:val="00E75460"/>
    <w:rsid w:val="00E770FB"/>
    <w:rsid w:val="00E86A5F"/>
    <w:rsid w:val="00E90C06"/>
    <w:rsid w:val="00EA071B"/>
    <w:rsid w:val="00EA41C7"/>
    <w:rsid w:val="00EB1D6F"/>
    <w:rsid w:val="00EB2A69"/>
    <w:rsid w:val="00EE3968"/>
    <w:rsid w:val="00EF1A9B"/>
    <w:rsid w:val="00F025A4"/>
    <w:rsid w:val="00F15F8D"/>
    <w:rsid w:val="00F20E86"/>
    <w:rsid w:val="00F46C2B"/>
    <w:rsid w:val="00F46E65"/>
    <w:rsid w:val="00F47744"/>
    <w:rsid w:val="00F529C9"/>
    <w:rsid w:val="00F57772"/>
    <w:rsid w:val="00F801A3"/>
    <w:rsid w:val="00F83C77"/>
    <w:rsid w:val="00F84B35"/>
    <w:rsid w:val="00FA169E"/>
    <w:rsid w:val="00FB1CAC"/>
    <w:rsid w:val="00FB7C2D"/>
    <w:rsid w:val="00FC7792"/>
    <w:rsid w:val="00FD06A7"/>
    <w:rsid w:val="00FD536B"/>
    <w:rsid w:val="00FD65BE"/>
    <w:rsid w:val="00FE4798"/>
    <w:rsid w:val="00FF14C2"/>
    <w:rsid w:val="00FF4F9A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27F7033-3793-4185-BD15-7CF65CDA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33FE2"/>
  </w:style>
  <w:style w:type="paragraph" w:styleId="ListParagraph">
    <w:name w:val="List Paragraph"/>
    <w:basedOn w:val="Normal"/>
    <w:uiPriority w:val="34"/>
    <w:qFormat/>
    <w:rsid w:val="00BF2E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6E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4C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4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4DF8A-4083-4D99-8A13-9258580F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463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awilliam</dc:creator>
  <cp:lastModifiedBy>Williams, Annette</cp:lastModifiedBy>
  <cp:revision>3</cp:revision>
  <cp:lastPrinted>2018-04-13T15:30:00Z</cp:lastPrinted>
  <dcterms:created xsi:type="dcterms:W3CDTF">2018-04-13T15:25:00Z</dcterms:created>
  <dcterms:modified xsi:type="dcterms:W3CDTF">2018-04-13T16:20:00Z</dcterms:modified>
</cp:coreProperties>
</file>